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bottom w:val="none" w:color="auto" w:sz="0" w:space="0"/>
        </w:pBdr>
        <w:ind w:left="0" w:right="360" w:firstLine="0"/>
        <w:jc w:val="left"/>
        <w:rPr>
          <w:rFonts w:hint="default" w:ascii="Arial" w:hAnsi="Arial" w:cs="Arial"/>
          <w:i w:val="0"/>
          <w:caps w:val="0"/>
          <w:color w:val="000000"/>
          <w:spacing w:val="0"/>
          <w:sz w:val="18"/>
          <w:szCs w:val="18"/>
        </w:rPr>
      </w:pPr>
      <w:r>
        <w:rPr>
          <w:rFonts w:hint="default" w:ascii="Arial" w:hAnsi="Arial" w:eastAsia="宋体" w:cs="Arial"/>
          <w:i w:val="0"/>
          <w:caps w:val="0"/>
          <w:color w:val="000000"/>
          <w:spacing w:val="0"/>
          <w:kern w:val="0"/>
          <w:sz w:val="18"/>
          <w:szCs w:val="18"/>
          <w:u w:val="none"/>
          <w:lang w:val="en-US" w:eastAsia="zh-CN" w:bidi="ar"/>
        </w:rPr>
        <w:fldChar w:fldCharType="begin"/>
      </w:r>
      <w:r>
        <w:rPr>
          <w:rFonts w:hint="default" w:ascii="Arial" w:hAnsi="Arial" w:eastAsia="宋体" w:cs="Arial"/>
          <w:i w:val="0"/>
          <w:caps w:val="0"/>
          <w:color w:val="000000"/>
          <w:spacing w:val="0"/>
          <w:kern w:val="0"/>
          <w:sz w:val="18"/>
          <w:szCs w:val="18"/>
          <w:u w:val="none"/>
          <w:lang w:val="en-US" w:eastAsia="zh-CN" w:bidi="ar"/>
        </w:rPr>
        <w:instrText xml:space="preserve"> HYPERLINK "https://author.baidu.com/home?from=bjh_article&amp;app_id=1680604191501278" \t "/home/greatwall/文档\\x/_blank" </w:instrText>
      </w:r>
      <w:r>
        <w:rPr>
          <w:rFonts w:hint="default" w:ascii="Arial" w:hAnsi="Arial" w:eastAsia="宋体" w:cs="Arial"/>
          <w:i w:val="0"/>
          <w:caps w:val="0"/>
          <w:color w:val="000000"/>
          <w:spacing w:val="0"/>
          <w:kern w:val="0"/>
          <w:sz w:val="18"/>
          <w:szCs w:val="18"/>
          <w:u w:val="none"/>
          <w:lang w:val="en-US" w:eastAsia="zh-CN" w:bidi="ar"/>
        </w:rPr>
        <w:fldChar w:fldCharType="separate"/>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center"/>
        <w:rPr>
          <w:rFonts w:ascii="Arial" w:hAnsi="Arial" w:eastAsia="Arial" w:cs="Arial"/>
          <w:b w:val="0"/>
          <w:bCs/>
          <w:i w:val="0"/>
          <w:iCs w:val="0"/>
          <w:caps w:val="0"/>
          <w:color w:val="565862"/>
          <w:spacing w:val="0"/>
          <w:sz w:val="44"/>
          <w:szCs w:val="44"/>
        </w:rPr>
      </w:pPr>
      <w:r>
        <w:rPr>
          <w:rFonts w:hint="default" w:ascii="Arial" w:hAnsi="Arial" w:eastAsia="宋体" w:cs="Arial"/>
          <w:i w:val="0"/>
          <w:caps w:val="0"/>
          <w:color w:val="000000"/>
          <w:spacing w:val="0"/>
          <w:kern w:val="0"/>
          <w:sz w:val="18"/>
          <w:szCs w:val="18"/>
          <w:u w:val="none"/>
          <w:lang w:val="en-US" w:eastAsia="zh-CN" w:bidi="ar"/>
        </w:rPr>
        <w:fldChar w:fldCharType="end"/>
      </w:r>
      <w:r>
        <w:rPr>
          <w:rStyle w:val="5"/>
          <w:rFonts w:hint="default" w:ascii="Arial" w:hAnsi="Arial" w:eastAsia="Arial" w:cs="Arial"/>
          <w:b w:val="0"/>
          <w:bCs/>
          <w:i w:val="0"/>
          <w:iCs w:val="0"/>
          <w:caps w:val="0"/>
          <w:color w:val="565862"/>
          <w:spacing w:val="0"/>
          <w:kern w:val="0"/>
          <w:sz w:val="44"/>
          <w:szCs w:val="44"/>
          <w:bdr w:val="none" w:color="auto" w:sz="0" w:space="0"/>
          <w:lang w:val="en-US" w:eastAsia="zh-CN" w:bidi="ar"/>
        </w:rPr>
        <w:t>国家发展改革委 工业和信息化部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center"/>
        <w:rPr>
          <w:rFonts w:hint="default" w:ascii="Arial" w:hAnsi="Arial" w:eastAsia="Arial" w:cs="Arial"/>
          <w:b w:val="0"/>
          <w:bCs/>
          <w:i w:val="0"/>
          <w:iCs w:val="0"/>
          <w:caps w:val="0"/>
          <w:color w:val="565862"/>
          <w:spacing w:val="0"/>
          <w:sz w:val="44"/>
          <w:szCs w:val="44"/>
        </w:rPr>
      </w:pPr>
      <w:r>
        <w:rPr>
          <w:rStyle w:val="5"/>
          <w:rFonts w:hint="default" w:ascii="Arial" w:hAnsi="Arial" w:eastAsia="Arial" w:cs="Arial"/>
          <w:b w:val="0"/>
          <w:bCs/>
          <w:i w:val="0"/>
          <w:iCs w:val="0"/>
          <w:caps w:val="0"/>
          <w:color w:val="565862"/>
          <w:spacing w:val="0"/>
          <w:kern w:val="0"/>
          <w:sz w:val="44"/>
          <w:szCs w:val="44"/>
          <w:bdr w:val="none" w:color="auto" w:sz="0" w:space="0"/>
          <w:lang w:val="en-US" w:eastAsia="zh-CN" w:bidi="ar"/>
        </w:rPr>
        <w:t>关于振作工业经济运行 推动工业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center"/>
        <w:rPr>
          <w:rFonts w:hint="default" w:ascii="Arial" w:hAnsi="Arial" w:eastAsia="Arial" w:cs="Arial"/>
          <w:b w:val="0"/>
          <w:bCs/>
          <w:i w:val="0"/>
          <w:iCs w:val="0"/>
          <w:caps w:val="0"/>
          <w:color w:val="565862"/>
          <w:spacing w:val="0"/>
          <w:sz w:val="44"/>
          <w:szCs w:val="44"/>
        </w:rPr>
      </w:pPr>
      <w:r>
        <w:rPr>
          <w:rStyle w:val="5"/>
          <w:rFonts w:hint="default" w:ascii="Arial" w:hAnsi="Arial" w:eastAsia="Arial" w:cs="Arial"/>
          <w:b w:val="0"/>
          <w:bCs/>
          <w:i w:val="0"/>
          <w:iCs w:val="0"/>
          <w:caps w:val="0"/>
          <w:color w:val="565862"/>
          <w:spacing w:val="0"/>
          <w:kern w:val="0"/>
          <w:sz w:val="44"/>
          <w:szCs w:val="44"/>
          <w:bdr w:val="none" w:color="auto" w:sz="0" w:space="0"/>
          <w:lang w:val="en-US" w:eastAsia="zh-CN" w:bidi="ar"/>
        </w:rPr>
        <w:t>高质量发展的实施方案的通知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center"/>
        <w:rPr>
          <w:rFonts w:hint="default" w:ascii="Arial" w:hAnsi="Arial" w:eastAsia="Arial" w:cs="Arial"/>
          <w:i w:val="0"/>
          <w:iCs w:val="0"/>
          <w:caps w:val="0"/>
          <w:color w:val="565862"/>
          <w:spacing w:val="0"/>
          <w:sz w:val="19"/>
          <w:szCs w:val="19"/>
        </w:rPr>
      </w:pPr>
      <w:r>
        <w:rPr>
          <w:rFonts w:hint="default" w:ascii="Arial" w:hAnsi="Arial" w:eastAsia="Arial" w:cs="Arial"/>
          <w:i w:val="0"/>
          <w:iCs w:val="0"/>
          <w:caps w:val="0"/>
          <w:color w:val="565862"/>
          <w:spacing w:val="0"/>
          <w:kern w:val="0"/>
          <w:sz w:val="19"/>
          <w:szCs w:val="19"/>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center"/>
        <w:rPr>
          <w:rFonts w:hint="default" w:ascii="Arial" w:hAnsi="Arial" w:eastAsia="Arial" w:cs="Arial"/>
          <w:i w:val="0"/>
          <w:iCs w:val="0"/>
          <w:caps w:val="0"/>
          <w:color w:val="565862"/>
          <w:spacing w:val="0"/>
          <w:sz w:val="19"/>
          <w:szCs w:val="19"/>
        </w:rPr>
      </w:pPr>
      <w:r>
        <w:rPr>
          <w:rFonts w:hint="default" w:ascii="Arial" w:hAnsi="Arial" w:eastAsia="Arial" w:cs="Arial"/>
          <w:i w:val="0"/>
          <w:iCs w:val="0"/>
          <w:caps w:val="0"/>
          <w:color w:val="565862"/>
          <w:spacing w:val="0"/>
          <w:kern w:val="0"/>
          <w:sz w:val="19"/>
          <w:szCs w:val="19"/>
          <w:bdr w:val="none" w:color="auto" w:sz="0" w:space="0"/>
          <w:lang w:val="en-US" w:eastAsia="zh-CN" w:bidi="ar"/>
        </w:rPr>
        <w:t>发改产业〔2021〕1780号</w:t>
      </w:r>
    </w:p>
    <w:p>
      <w:pPr>
        <w:keepNext w:val="0"/>
        <w:keepLines w:val="0"/>
        <w:widowControl/>
        <w:suppressLineNumbers w:val="0"/>
        <w:spacing w:after="240" w:afterAutospacing="0"/>
        <w:jc w:val="left"/>
      </w:pPr>
      <w:bookmarkStart w:id="0" w:name="_GoBack"/>
      <w:bookmarkEnd w:id="0"/>
      <w:r>
        <w:rPr>
          <w:rFonts w:hint="default" w:ascii="Arial" w:hAnsi="Arial" w:eastAsia="Arial" w:cs="Arial"/>
          <w:i w:val="0"/>
          <w:iCs w:val="0"/>
          <w:caps w:val="0"/>
          <w:color w:val="565862"/>
          <w:spacing w:val="0"/>
          <w:kern w:val="0"/>
          <w:sz w:val="19"/>
          <w:szCs w:val="19"/>
          <w:bdr w:val="none" w:color="auto" w:sz="0" w:space="0"/>
          <w:lang w:val="en-US" w:eastAsia="zh-CN" w:bidi="ar"/>
        </w:rPr>
        <w:br w:type="textWrapping"/>
      </w:r>
      <w:r>
        <w:rPr>
          <w:rFonts w:ascii="宋体" w:hAnsi="宋体" w:eastAsia="宋体" w:cs="宋体"/>
          <w:i w:val="0"/>
          <w:iCs w:val="0"/>
          <w:caps w:val="0"/>
          <w:color w:val="565862"/>
          <w:spacing w:val="0"/>
          <w:kern w:val="0"/>
          <w:sz w:val="19"/>
          <w:szCs w:val="19"/>
          <w:bdr w:val="none" w:color="auto" w:sz="0" w:space="0"/>
          <w:lang w:val="en-US" w:eastAsia="zh-CN" w:bidi="ar"/>
        </w:rPr>
        <w:t>科技部、财政部、人力资源社会保障部、商务部、人民银行、国资委、税务总局、市场监管总局、银保监会、证监会、国家能源局、全国工商联，各省、自治区、直辖市及计划单列市、新疆生产建设兵团发展改革委、工业和信息化主管部门：</w:t>
      </w:r>
      <w:r>
        <w:rPr>
          <w:rFonts w:hint="default" w:ascii="Arial" w:hAnsi="Arial" w:eastAsia="Arial" w:cs="Arial"/>
          <w:i w:val="0"/>
          <w:iCs w:val="0"/>
          <w:caps w:val="0"/>
          <w:color w:val="565862"/>
          <w:spacing w:val="0"/>
          <w:kern w:val="0"/>
          <w:sz w:val="19"/>
          <w:szCs w:val="19"/>
          <w:bdr w:val="none" w:color="auto" w:sz="0" w:space="0"/>
          <w:lang w:val="en-US" w:eastAsia="zh-CN" w:bidi="ar"/>
        </w:rPr>
        <w:br w:type="textWrapping"/>
      </w:r>
      <w:r>
        <w:rPr>
          <w:rFonts w:ascii="宋体" w:hAnsi="宋体" w:eastAsia="宋体" w:cs="宋体"/>
          <w:i w:val="0"/>
          <w:iCs w:val="0"/>
          <w:caps w:val="0"/>
          <w:color w:val="565862"/>
          <w:spacing w:val="0"/>
          <w:kern w:val="0"/>
          <w:sz w:val="19"/>
          <w:szCs w:val="19"/>
          <w:bdr w:val="none" w:color="auto" w:sz="0" w:space="0"/>
          <w:lang w:val="en-US" w:eastAsia="zh-CN" w:bidi="ar"/>
        </w:rPr>
        <w:t>  工业是国民经济的主体，工业稳则经济稳。为深入贯彻习近平新时代中国特色社会主义思想，认真落实党中央、国务院决策部署，坚持稳中求进工作总基调，立足新发展阶段，完整、准确、全面贯彻新发展理念，加快构建新发展格局，推动高质量发展，坚持以深化供给侧结构性改革为主线，统筹疫情防控和经济社会发展，坚持目标导向、问题导向，做好宏观政策预调微调和跨周期调节，精准打通产业链供应链堵点卡点，挖掘市场需求潜力，强化政策扶持，优化发展环境，保持良好增长预期，激发市场主体活力，振作工业经济运行，推动工业高质量发展，国家发展改革委、工业和信息化部会同有关方面制定了本实施方案。</w:t>
      </w:r>
      <w:r>
        <w:rPr>
          <w:rFonts w:hint="default" w:ascii="Arial" w:hAnsi="Arial" w:eastAsia="Arial" w:cs="Arial"/>
          <w:i w:val="0"/>
          <w:iCs w:val="0"/>
          <w:caps w:val="0"/>
          <w:color w:val="565862"/>
          <w:spacing w:val="0"/>
          <w:kern w:val="0"/>
          <w:sz w:val="19"/>
          <w:szCs w:val="19"/>
          <w:bdr w:val="none" w:color="auto" w:sz="0" w:space="0"/>
          <w:lang w:val="en-US" w:eastAsia="zh-CN" w:bidi="ar"/>
        </w:rPr>
        <w:br w:type="textWrapping"/>
      </w:r>
      <w:r>
        <w:rPr>
          <w:rFonts w:ascii="宋体" w:hAnsi="宋体" w:eastAsia="宋体" w:cs="宋体"/>
          <w:i w:val="0"/>
          <w:iCs w:val="0"/>
          <w:caps w:val="0"/>
          <w:color w:val="565862"/>
          <w:spacing w:val="0"/>
          <w:kern w:val="0"/>
          <w:sz w:val="19"/>
          <w:szCs w:val="19"/>
          <w:bdr w:val="none" w:color="auto" w:sz="0" w:space="0"/>
          <w:lang w:val="en-US" w:eastAsia="zh-CN" w:bidi="ar"/>
        </w:rPr>
        <w:t>  </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一、打通堵点卡点，确保工业经济循环畅通</w:t>
      </w:r>
      <w:r>
        <w:rPr>
          <w:rFonts w:hint="default" w:ascii="Arial" w:hAnsi="Arial" w:eastAsia="Arial" w:cs="Arial"/>
          <w:i w:val="0"/>
          <w:iCs w:val="0"/>
          <w:caps w:val="0"/>
          <w:color w:val="565862"/>
          <w:spacing w:val="0"/>
          <w:kern w:val="0"/>
          <w:sz w:val="19"/>
          <w:szCs w:val="19"/>
          <w:bdr w:val="none" w:color="auto" w:sz="0" w:space="0"/>
          <w:lang w:val="en-US" w:eastAsia="zh-CN" w:bidi="ar"/>
        </w:rPr>
        <w:br w:type="textWrapping"/>
      </w:r>
      <w:r>
        <w:rPr>
          <w:rFonts w:ascii="宋体" w:hAnsi="宋体" w:eastAsia="宋体" w:cs="宋体"/>
          <w:i w:val="0"/>
          <w:iCs w:val="0"/>
          <w:caps w:val="0"/>
          <w:color w:val="565862"/>
          <w:spacing w:val="0"/>
          <w:kern w:val="0"/>
          <w:sz w:val="19"/>
          <w:szCs w:val="19"/>
          <w:bdr w:val="none" w:color="auto" w:sz="0" w:space="0"/>
          <w:lang w:val="en-US" w:eastAsia="zh-CN" w:bidi="ar"/>
        </w:rPr>
        <w:t>  </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（一）扎实推进能源安全保供。</w:t>
      </w:r>
      <w:r>
        <w:rPr>
          <w:rFonts w:ascii="宋体" w:hAnsi="宋体" w:eastAsia="宋体" w:cs="宋体"/>
          <w:i w:val="0"/>
          <w:iCs w:val="0"/>
          <w:caps w:val="0"/>
          <w:color w:val="565862"/>
          <w:spacing w:val="0"/>
          <w:kern w:val="0"/>
          <w:sz w:val="19"/>
          <w:szCs w:val="19"/>
          <w:bdr w:val="none" w:color="auto" w:sz="0" w:space="0"/>
          <w:lang w:val="en-US" w:eastAsia="zh-CN" w:bidi="ar"/>
        </w:rPr>
        <w:t>充分发挥煤电油气运保障工作部际协调机制作用，加强资源统筹调度，推进煤炭优质产能充分释放，提高发电供热化肥用煤中长期合同履约水平，推动煤电企业提高发电出力。制定好能源保供应急预案，做实做细能源电力保供工作，保障民生和重点用户用能需求。对煤电和供热企业今年四季度的应缴税款全部暂缓缴纳。完善能耗双控有关政策，严格能耗强度管控，多措并举有效增强能源消费总量管理弹性，保障工业发展合理用能。严厉打击散布虚假信息、哄抬价格等各类违法行为和资本无序炒作。</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（发展改革委、工业和信息化部、财政部、国资委、税务总局、市场监管总局、能源局按职责分工负责）</w:t>
      </w:r>
      <w:r>
        <w:rPr>
          <w:rFonts w:hint="default" w:ascii="Arial" w:hAnsi="Arial" w:eastAsia="Arial" w:cs="Arial"/>
          <w:i w:val="0"/>
          <w:iCs w:val="0"/>
          <w:caps w:val="0"/>
          <w:color w:val="565862"/>
          <w:spacing w:val="0"/>
          <w:kern w:val="0"/>
          <w:sz w:val="19"/>
          <w:szCs w:val="19"/>
          <w:bdr w:val="none" w:color="auto" w:sz="0" w:space="0"/>
          <w:lang w:val="en-US" w:eastAsia="zh-CN" w:bidi="ar"/>
        </w:rPr>
        <w:br w:type="textWrapping"/>
      </w:r>
      <w:r>
        <w:rPr>
          <w:rFonts w:ascii="宋体" w:hAnsi="宋体" w:eastAsia="宋体" w:cs="宋体"/>
          <w:i w:val="0"/>
          <w:iCs w:val="0"/>
          <w:caps w:val="0"/>
          <w:color w:val="565862"/>
          <w:spacing w:val="0"/>
          <w:kern w:val="0"/>
          <w:sz w:val="19"/>
          <w:szCs w:val="19"/>
          <w:bdr w:val="none" w:color="auto" w:sz="0" w:space="0"/>
          <w:lang w:val="en-US" w:eastAsia="zh-CN" w:bidi="ar"/>
        </w:rPr>
        <w:t> </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 （二）做好大宗原材料保供稳价。</w:t>
      </w:r>
      <w:r>
        <w:rPr>
          <w:rFonts w:ascii="宋体" w:hAnsi="宋体" w:eastAsia="宋体" w:cs="宋体"/>
          <w:i w:val="0"/>
          <w:iCs w:val="0"/>
          <w:caps w:val="0"/>
          <w:color w:val="565862"/>
          <w:spacing w:val="0"/>
          <w:kern w:val="0"/>
          <w:sz w:val="19"/>
          <w:szCs w:val="19"/>
          <w:bdr w:val="none" w:color="auto" w:sz="0" w:space="0"/>
          <w:lang w:val="en-US" w:eastAsia="zh-CN" w:bidi="ar"/>
        </w:rPr>
        <w:t>持续密切监测大宗原材料市场供需和价格变化，大力增加大宗原材料市场有效供给，灵活运用国家储备开展市场调节。实施好《重要商品和服务价格指数行为管理办法（试行）》，加强信息发布解读，促进规范运行。进一步强化大宗商品期现货市场监管，坚决遏制过度投机炒作。</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（发展改革委、工业和信息化部、商务部、国资委、市场监管总局、证监会按职责分工负责）</w:t>
      </w:r>
      <w:r>
        <w:rPr>
          <w:rFonts w:hint="default" w:ascii="Arial" w:hAnsi="Arial" w:eastAsia="Arial" w:cs="Arial"/>
          <w:i w:val="0"/>
          <w:iCs w:val="0"/>
          <w:caps w:val="0"/>
          <w:color w:val="565862"/>
          <w:spacing w:val="0"/>
          <w:kern w:val="0"/>
          <w:sz w:val="19"/>
          <w:szCs w:val="19"/>
          <w:bdr w:val="none" w:color="auto" w:sz="0" w:space="0"/>
          <w:lang w:val="en-US" w:eastAsia="zh-CN" w:bidi="ar"/>
        </w:rPr>
        <w:br w:type="textWrapping"/>
      </w:r>
      <w:r>
        <w:rPr>
          <w:rFonts w:ascii="宋体" w:hAnsi="宋体" w:eastAsia="宋体" w:cs="宋体"/>
          <w:i w:val="0"/>
          <w:iCs w:val="0"/>
          <w:caps w:val="0"/>
          <w:color w:val="565862"/>
          <w:spacing w:val="0"/>
          <w:kern w:val="0"/>
          <w:sz w:val="19"/>
          <w:szCs w:val="19"/>
          <w:bdr w:val="none" w:color="auto" w:sz="0" w:space="0"/>
          <w:lang w:val="en-US" w:eastAsia="zh-CN" w:bidi="ar"/>
        </w:rPr>
        <w:t>  </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（三）保持重点产业链供应链顺畅。</w:t>
      </w:r>
      <w:r>
        <w:rPr>
          <w:rFonts w:ascii="宋体" w:hAnsi="宋体" w:eastAsia="宋体" w:cs="宋体"/>
          <w:i w:val="0"/>
          <w:iCs w:val="0"/>
          <w:caps w:val="0"/>
          <w:color w:val="565862"/>
          <w:spacing w:val="0"/>
          <w:kern w:val="0"/>
          <w:sz w:val="19"/>
          <w:szCs w:val="19"/>
          <w:bdr w:val="none" w:color="auto" w:sz="0" w:space="0"/>
          <w:lang w:val="en-US" w:eastAsia="zh-CN" w:bidi="ar"/>
        </w:rPr>
        <w:t>强化对重点行业的运行监测，建立完善产业链供应链苗头性问题预警机制，加强问题分析研判，积极应对突发情况，及时处置潜在风险。加快关键核心技术创新和迭代应用，加大“首台套”“首批次”应用政策支持力度。发挥“链主”企业作用，优化产业链资源配置。聚焦新能源汽车、医疗装备等重点领域，实施重点领域“1+N”产业链供应链贯通工程，推动产业链上中下游、大中小企业融通创新，促进产业链供应链贯通发展。深入开展全国供应链创新与应用示范创建。完善国家质量基础设施，推行一站式服务，深入开展质量提升行动。</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（发展改革委、科技部、工业和信息化部、商务部、国资委、市场监管总局按职责分工负责）</w:t>
      </w:r>
      <w:r>
        <w:rPr>
          <w:rFonts w:hint="default" w:ascii="Arial" w:hAnsi="Arial" w:eastAsia="Arial" w:cs="Arial"/>
          <w:i w:val="0"/>
          <w:iCs w:val="0"/>
          <w:caps w:val="0"/>
          <w:color w:val="565862"/>
          <w:spacing w:val="0"/>
          <w:kern w:val="0"/>
          <w:sz w:val="19"/>
          <w:szCs w:val="19"/>
          <w:bdr w:val="none" w:color="auto" w:sz="0" w:space="0"/>
          <w:lang w:val="en-US" w:eastAsia="zh-CN" w:bidi="ar"/>
        </w:rPr>
        <w:br w:type="textWrapping"/>
      </w:r>
      <w:r>
        <w:rPr>
          <w:rFonts w:ascii="宋体" w:hAnsi="宋体" w:eastAsia="宋体" w:cs="宋体"/>
          <w:i w:val="0"/>
          <w:iCs w:val="0"/>
          <w:caps w:val="0"/>
          <w:color w:val="565862"/>
          <w:spacing w:val="0"/>
          <w:kern w:val="0"/>
          <w:sz w:val="19"/>
          <w:szCs w:val="19"/>
          <w:bdr w:val="none" w:color="auto" w:sz="0" w:space="0"/>
          <w:lang w:val="en-US" w:eastAsia="zh-CN" w:bidi="ar"/>
        </w:rPr>
        <w:t>  </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二、挖掘需求潜力，拓展工业经济市场空间</w:t>
      </w:r>
      <w:r>
        <w:rPr>
          <w:rFonts w:hint="default" w:ascii="Arial" w:hAnsi="Arial" w:eastAsia="Arial" w:cs="Arial"/>
          <w:i w:val="0"/>
          <w:iCs w:val="0"/>
          <w:caps w:val="0"/>
          <w:color w:val="565862"/>
          <w:spacing w:val="0"/>
          <w:kern w:val="0"/>
          <w:sz w:val="19"/>
          <w:szCs w:val="19"/>
          <w:bdr w:val="none" w:color="auto" w:sz="0" w:space="0"/>
          <w:lang w:val="en-US" w:eastAsia="zh-CN" w:bidi="ar"/>
        </w:rPr>
        <w:br w:type="textWrapping"/>
      </w:r>
      <w:r>
        <w:rPr>
          <w:rFonts w:ascii="宋体" w:hAnsi="宋体" w:eastAsia="宋体" w:cs="宋体"/>
          <w:i w:val="0"/>
          <w:iCs w:val="0"/>
          <w:caps w:val="0"/>
          <w:color w:val="565862"/>
          <w:spacing w:val="0"/>
          <w:kern w:val="0"/>
          <w:sz w:val="19"/>
          <w:szCs w:val="19"/>
          <w:bdr w:val="none" w:color="auto" w:sz="0" w:space="0"/>
          <w:lang w:val="en-US" w:eastAsia="zh-CN" w:bidi="ar"/>
        </w:rPr>
        <w:t> </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 （四）促进重大项目落地见效。</w:t>
      </w:r>
      <w:r>
        <w:rPr>
          <w:rFonts w:ascii="宋体" w:hAnsi="宋体" w:eastAsia="宋体" w:cs="宋体"/>
          <w:i w:val="0"/>
          <w:iCs w:val="0"/>
          <w:caps w:val="0"/>
          <w:color w:val="565862"/>
          <w:spacing w:val="0"/>
          <w:kern w:val="0"/>
          <w:sz w:val="19"/>
          <w:szCs w:val="19"/>
          <w:bdr w:val="none" w:color="auto" w:sz="0" w:space="0"/>
          <w:lang w:val="en-US" w:eastAsia="zh-CN" w:bidi="ar"/>
        </w:rPr>
        <w:t>加快“十四五”规划重大工程、区域重大战略规划及年度工作安排明确的重大项目实施，推进具备条件的重大项目抓紧上马，能开工的项目尽快开工建设，在建项目加快建设进度，争取早日竣工投产。在5G、千兆光网等领域布局一批新型基础设施项目。尽快启动一体化大数据中心枢纽节点建设工程和中西部中小城市基础网络完善工程。发挥国家和地方重大外资项目专班作用，加快推动先进制造业等领域重大外资项目落地实施。</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（发展改革委、工业和信息化部、商务部、国资委按职责分工负责）</w:t>
      </w:r>
      <w:r>
        <w:rPr>
          <w:rFonts w:hint="default" w:ascii="Arial" w:hAnsi="Arial" w:eastAsia="Arial" w:cs="Arial"/>
          <w:i w:val="0"/>
          <w:iCs w:val="0"/>
          <w:caps w:val="0"/>
          <w:color w:val="565862"/>
          <w:spacing w:val="0"/>
          <w:kern w:val="0"/>
          <w:sz w:val="19"/>
          <w:szCs w:val="19"/>
          <w:bdr w:val="none" w:color="auto" w:sz="0" w:space="0"/>
          <w:lang w:val="en-US" w:eastAsia="zh-CN" w:bidi="ar"/>
        </w:rPr>
        <w:br w:type="textWrapping"/>
      </w:r>
      <w:r>
        <w:rPr>
          <w:rFonts w:ascii="宋体" w:hAnsi="宋体" w:eastAsia="宋体" w:cs="宋体"/>
          <w:i w:val="0"/>
          <w:iCs w:val="0"/>
          <w:caps w:val="0"/>
          <w:color w:val="565862"/>
          <w:spacing w:val="0"/>
          <w:kern w:val="0"/>
          <w:sz w:val="19"/>
          <w:szCs w:val="19"/>
          <w:bdr w:val="none" w:color="auto" w:sz="0" w:space="0"/>
          <w:lang w:val="en-US" w:eastAsia="zh-CN" w:bidi="ar"/>
        </w:rPr>
        <w:t>  </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（五）大力推动企业技术改造。</w:t>
      </w:r>
      <w:r>
        <w:rPr>
          <w:rFonts w:ascii="宋体" w:hAnsi="宋体" w:eastAsia="宋体" w:cs="宋体"/>
          <w:i w:val="0"/>
          <w:iCs w:val="0"/>
          <w:caps w:val="0"/>
          <w:color w:val="565862"/>
          <w:spacing w:val="0"/>
          <w:kern w:val="0"/>
          <w:sz w:val="19"/>
          <w:szCs w:val="19"/>
          <w:bdr w:val="none" w:color="auto" w:sz="0" w:space="0"/>
          <w:lang w:val="en-US" w:eastAsia="zh-CN" w:bidi="ar"/>
        </w:rPr>
        <w:t>修订产业结构调整指导目录，引导企业加快技术改造和设备更新。实施工业企业技术改造投资升级导向计划。在钢铁、有色、建材、石化、煤电等重点领域组织开展技术改造，推动智能制造示范工厂建设，实施生产线和工业母机改造，补齐关键技术短板，提高产品供给质量。加快工业互联网建设和普及应用，促进传统产业企业依托工业互联网开展数字化转型。开展质量技术帮扶“巡回问诊”，鼓励企业建立质量追溯机制，有效落实企业质量主体责任。</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（发展改革委、工业和信息化部、市场监管总局、能源局按职责分工负责）</w:t>
      </w:r>
      <w:r>
        <w:rPr>
          <w:rFonts w:hint="default" w:ascii="Arial" w:hAnsi="Arial" w:eastAsia="Arial" w:cs="Arial"/>
          <w:i w:val="0"/>
          <w:iCs w:val="0"/>
          <w:caps w:val="0"/>
          <w:color w:val="565862"/>
          <w:spacing w:val="0"/>
          <w:kern w:val="0"/>
          <w:sz w:val="19"/>
          <w:szCs w:val="19"/>
          <w:bdr w:val="none" w:color="auto" w:sz="0" w:space="0"/>
          <w:lang w:val="en-US" w:eastAsia="zh-CN" w:bidi="ar"/>
        </w:rPr>
        <w:br w:type="textWrapping"/>
      </w:r>
      <w:r>
        <w:rPr>
          <w:rFonts w:ascii="宋体" w:hAnsi="宋体" w:eastAsia="宋体" w:cs="宋体"/>
          <w:i w:val="0"/>
          <w:iCs w:val="0"/>
          <w:caps w:val="0"/>
          <w:color w:val="565862"/>
          <w:spacing w:val="0"/>
          <w:kern w:val="0"/>
          <w:sz w:val="19"/>
          <w:szCs w:val="19"/>
          <w:bdr w:val="none" w:color="auto" w:sz="0" w:space="0"/>
          <w:lang w:val="en-US" w:eastAsia="zh-CN" w:bidi="ar"/>
        </w:rPr>
        <w:t>  </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（六）培育新业态新模式。</w:t>
      </w:r>
      <w:r>
        <w:rPr>
          <w:rFonts w:ascii="宋体" w:hAnsi="宋体" w:eastAsia="宋体" w:cs="宋体"/>
          <w:i w:val="0"/>
          <w:iCs w:val="0"/>
          <w:caps w:val="0"/>
          <w:color w:val="565862"/>
          <w:spacing w:val="0"/>
          <w:kern w:val="0"/>
          <w:sz w:val="19"/>
          <w:szCs w:val="19"/>
          <w:bdr w:val="none" w:color="auto" w:sz="0" w:space="0"/>
          <w:lang w:val="en-US" w:eastAsia="zh-CN" w:bidi="ar"/>
        </w:rPr>
        <w:t>深入推进国家战略性新兴产业集群发展工程，构建一批各具特色、优势互补、结构合理的战略性新兴产业增长引擎。前瞻谋划未来产业，组织实施未来产业孵化与加速计划，推动建设一批国家未来产业先导试验区。支持制造业大型企业为产业链上下游企业提供研发设计、创业孵化、计量测试、检验检测等服务。深化新一代信息技术与制造业融合应用。深入开展科创服务领域标准化建设行动，推动制造服务业标准体系逐步完善。</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（发展改革委、科技部、工业和信息化部、市场监管总局按职责分工负责）</w:t>
      </w:r>
      <w:r>
        <w:rPr>
          <w:rFonts w:hint="default" w:ascii="Arial" w:hAnsi="Arial" w:eastAsia="Arial" w:cs="Arial"/>
          <w:i w:val="0"/>
          <w:iCs w:val="0"/>
          <w:caps w:val="0"/>
          <w:color w:val="565862"/>
          <w:spacing w:val="0"/>
          <w:kern w:val="0"/>
          <w:sz w:val="19"/>
          <w:szCs w:val="19"/>
          <w:bdr w:val="none" w:color="auto" w:sz="0" w:space="0"/>
          <w:lang w:val="en-US" w:eastAsia="zh-CN" w:bidi="ar"/>
        </w:rPr>
        <w:br w:type="textWrapping"/>
      </w:r>
      <w:r>
        <w:rPr>
          <w:rFonts w:ascii="宋体" w:hAnsi="宋体" w:eastAsia="宋体" w:cs="宋体"/>
          <w:i w:val="0"/>
          <w:iCs w:val="0"/>
          <w:caps w:val="0"/>
          <w:color w:val="565862"/>
          <w:spacing w:val="0"/>
          <w:kern w:val="0"/>
          <w:sz w:val="19"/>
          <w:szCs w:val="19"/>
          <w:bdr w:val="none" w:color="auto" w:sz="0" w:space="0"/>
          <w:lang w:val="en-US" w:eastAsia="zh-CN" w:bidi="ar"/>
        </w:rPr>
        <w:t>  </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（七）释放重点领域消费潜力。</w:t>
      </w:r>
      <w:r>
        <w:rPr>
          <w:rFonts w:ascii="宋体" w:hAnsi="宋体" w:eastAsia="宋体" w:cs="宋体"/>
          <w:i w:val="0"/>
          <w:iCs w:val="0"/>
          <w:caps w:val="0"/>
          <w:color w:val="565862"/>
          <w:spacing w:val="0"/>
          <w:kern w:val="0"/>
          <w:sz w:val="19"/>
          <w:szCs w:val="19"/>
          <w:bdr w:val="none" w:color="auto" w:sz="0" w:space="0"/>
          <w:lang w:val="en-US" w:eastAsia="zh-CN" w:bidi="ar"/>
        </w:rPr>
        <w:t>加快新能源汽车推广应用，加快充电桩、换电站等配套设施建设。健全家电回收处理体系，实施家电生产者回收目标责任制。鼓励有条件的地方在家电等领域推出新一轮以旧换新行动。鼓励开展新能源汽车、智能家电、绿色建材下乡行动。面向北京冬奥会转播等重大场景促进超高清视频落地推广。推动传统线下业态供应链和运营管理数字化改造，发展新型信息消费。加大线上线下融合力度，扩大自主品牌消费和线上新型消费，促进老字号创新发展，高水平办好中国品牌日活动。</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（发展改革委、工业和信息化部、财政部、商务部、国资委、能源局按职责分工负责）</w:t>
      </w:r>
      <w:r>
        <w:rPr>
          <w:rFonts w:hint="default" w:ascii="Arial" w:hAnsi="Arial" w:eastAsia="Arial" w:cs="Arial"/>
          <w:i w:val="0"/>
          <w:iCs w:val="0"/>
          <w:caps w:val="0"/>
          <w:color w:val="565862"/>
          <w:spacing w:val="0"/>
          <w:kern w:val="0"/>
          <w:sz w:val="19"/>
          <w:szCs w:val="19"/>
          <w:bdr w:val="none" w:color="auto" w:sz="0" w:space="0"/>
          <w:lang w:val="en-US" w:eastAsia="zh-CN" w:bidi="ar"/>
        </w:rPr>
        <w:br w:type="textWrapping"/>
      </w:r>
      <w:r>
        <w:rPr>
          <w:rFonts w:ascii="宋体" w:hAnsi="宋体" w:eastAsia="宋体" w:cs="宋体"/>
          <w:i w:val="0"/>
          <w:iCs w:val="0"/>
          <w:caps w:val="0"/>
          <w:color w:val="565862"/>
          <w:spacing w:val="0"/>
          <w:kern w:val="0"/>
          <w:sz w:val="19"/>
          <w:szCs w:val="19"/>
          <w:bdr w:val="none" w:color="auto" w:sz="0" w:space="0"/>
          <w:lang w:val="en-US" w:eastAsia="zh-CN" w:bidi="ar"/>
        </w:rPr>
        <w:t>  </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（八）提高外资利用水平。</w:t>
      </w:r>
      <w:r>
        <w:rPr>
          <w:rFonts w:ascii="宋体" w:hAnsi="宋体" w:eastAsia="宋体" w:cs="宋体"/>
          <w:i w:val="0"/>
          <w:iCs w:val="0"/>
          <w:caps w:val="0"/>
          <w:color w:val="565862"/>
          <w:spacing w:val="0"/>
          <w:kern w:val="0"/>
          <w:sz w:val="19"/>
          <w:szCs w:val="19"/>
          <w:bdr w:val="none" w:color="auto" w:sz="0" w:space="0"/>
          <w:lang w:val="en-US" w:eastAsia="zh-CN" w:bidi="ar"/>
        </w:rPr>
        <w:t>出台2021年版外资准入负面清单，进一步放宽制造业等领域限制。开展国际产业投资合作系列活动，搭建外资企业和地方沟通交流平台。适时修订《鼓励外商投资产业目录》，鼓励外商投资制造业。</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（发展改革委、商务部按职责分工负责）</w:t>
      </w:r>
      <w:r>
        <w:rPr>
          <w:rFonts w:hint="default" w:ascii="Arial" w:hAnsi="Arial" w:eastAsia="Arial" w:cs="Arial"/>
          <w:i w:val="0"/>
          <w:iCs w:val="0"/>
          <w:caps w:val="0"/>
          <w:color w:val="565862"/>
          <w:spacing w:val="0"/>
          <w:kern w:val="0"/>
          <w:sz w:val="19"/>
          <w:szCs w:val="19"/>
          <w:bdr w:val="none" w:color="auto" w:sz="0" w:space="0"/>
          <w:lang w:val="en-US" w:eastAsia="zh-CN" w:bidi="ar"/>
        </w:rPr>
        <w:br w:type="textWrapping"/>
      </w:r>
      <w:r>
        <w:rPr>
          <w:rFonts w:ascii="宋体" w:hAnsi="宋体" w:eastAsia="宋体" w:cs="宋体"/>
          <w:i w:val="0"/>
          <w:iCs w:val="0"/>
          <w:caps w:val="0"/>
          <w:color w:val="565862"/>
          <w:spacing w:val="0"/>
          <w:kern w:val="0"/>
          <w:sz w:val="19"/>
          <w:szCs w:val="19"/>
          <w:bdr w:val="none" w:color="auto" w:sz="0" w:space="0"/>
          <w:lang w:val="en-US" w:eastAsia="zh-CN" w:bidi="ar"/>
        </w:rPr>
        <w:t>  </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（九）推动外贸稳定发展。</w:t>
      </w:r>
      <w:r>
        <w:rPr>
          <w:rFonts w:ascii="宋体" w:hAnsi="宋体" w:eastAsia="宋体" w:cs="宋体"/>
          <w:i w:val="0"/>
          <w:iCs w:val="0"/>
          <w:caps w:val="0"/>
          <w:color w:val="565862"/>
          <w:spacing w:val="0"/>
          <w:kern w:val="0"/>
          <w:sz w:val="19"/>
          <w:szCs w:val="19"/>
          <w:bdr w:val="none" w:color="auto" w:sz="0" w:space="0"/>
          <w:lang w:val="en-US" w:eastAsia="zh-CN" w:bidi="ar"/>
        </w:rPr>
        <w:t>落实好稳外贸政策措施，巩固提升出口信用保险作用，抓实抓好外贸信贷投放。依托国家物流枢纽，拓展海运、空运、铁路国际运输线路，推动构建支撑“全球采购、全球生产、全球销售”的国际物流服务网络，推动国际物流降本增效。</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（发展改革委、商务部、银保监会按职责分工负责）</w:t>
      </w:r>
      <w:r>
        <w:rPr>
          <w:rFonts w:hint="default" w:ascii="Arial" w:hAnsi="Arial" w:eastAsia="Arial" w:cs="Arial"/>
          <w:i w:val="0"/>
          <w:iCs w:val="0"/>
          <w:caps w:val="0"/>
          <w:color w:val="565862"/>
          <w:spacing w:val="0"/>
          <w:kern w:val="0"/>
          <w:sz w:val="19"/>
          <w:szCs w:val="19"/>
          <w:bdr w:val="none" w:color="auto" w:sz="0" w:space="0"/>
          <w:lang w:val="en-US" w:eastAsia="zh-CN" w:bidi="ar"/>
        </w:rPr>
        <w:br w:type="textWrapping"/>
      </w:r>
      <w:r>
        <w:rPr>
          <w:rFonts w:ascii="宋体" w:hAnsi="宋体" w:eastAsia="宋体" w:cs="宋体"/>
          <w:i w:val="0"/>
          <w:iCs w:val="0"/>
          <w:caps w:val="0"/>
          <w:color w:val="565862"/>
          <w:spacing w:val="0"/>
          <w:kern w:val="0"/>
          <w:sz w:val="19"/>
          <w:szCs w:val="19"/>
          <w:bdr w:val="none" w:color="auto" w:sz="0" w:space="0"/>
          <w:lang w:val="en-US" w:eastAsia="zh-CN" w:bidi="ar"/>
        </w:rPr>
        <w:t>  </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三、强化政策扶持，健全工业经济保障措施</w:t>
      </w:r>
      <w:r>
        <w:rPr>
          <w:rFonts w:hint="default" w:ascii="Arial" w:hAnsi="Arial" w:eastAsia="Arial" w:cs="Arial"/>
          <w:i w:val="0"/>
          <w:iCs w:val="0"/>
          <w:caps w:val="0"/>
          <w:color w:val="565862"/>
          <w:spacing w:val="0"/>
          <w:kern w:val="0"/>
          <w:sz w:val="19"/>
          <w:szCs w:val="19"/>
          <w:bdr w:val="none" w:color="auto" w:sz="0" w:space="0"/>
          <w:lang w:val="en-US" w:eastAsia="zh-CN" w:bidi="ar"/>
        </w:rPr>
        <w:br w:type="textWrapping"/>
      </w:r>
      <w:r>
        <w:rPr>
          <w:rFonts w:ascii="宋体" w:hAnsi="宋体" w:eastAsia="宋体" w:cs="宋体"/>
          <w:i w:val="0"/>
          <w:iCs w:val="0"/>
          <w:caps w:val="0"/>
          <w:color w:val="565862"/>
          <w:spacing w:val="0"/>
          <w:kern w:val="0"/>
          <w:sz w:val="19"/>
          <w:szCs w:val="19"/>
          <w:bdr w:val="none" w:color="auto" w:sz="0" w:space="0"/>
          <w:lang w:val="en-US" w:eastAsia="zh-CN" w:bidi="ar"/>
        </w:rPr>
        <w:t>  </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（十）完善重点行业发展政策。</w:t>
      </w:r>
      <w:r>
        <w:rPr>
          <w:rFonts w:ascii="宋体" w:hAnsi="宋体" w:eastAsia="宋体" w:cs="宋体"/>
          <w:i w:val="0"/>
          <w:iCs w:val="0"/>
          <w:caps w:val="0"/>
          <w:color w:val="565862"/>
          <w:spacing w:val="0"/>
          <w:kern w:val="0"/>
          <w:sz w:val="19"/>
          <w:szCs w:val="19"/>
          <w:bdr w:val="none" w:color="auto" w:sz="0" w:space="0"/>
          <w:lang w:val="en-US" w:eastAsia="zh-CN" w:bidi="ar"/>
        </w:rPr>
        <w:t>持续巩固提升钢铁化解过剩产能工作成果，对违法违规问题保持零容忍高压态势。完善汽车产业投资管理，统筹优化产业布局，支持新能源汽车加快发展。优化石化产业规划布局，有序推进炼化一体化项目建设。积极推动绿色智能船舶示范应用，加快推进沿海、内河老旧船舶更新改造。实施5G应用“扬帆”行动计划（2021—2023年）。组织开展先进制造业和现代服务业融合发展试点，探索推广“两业融合”新路径新模式。</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（发展改革委、工业和信息化部、国资委按职责分工负责）</w:t>
      </w:r>
      <w:r>
        <w:rPr>
          <w:rFonts w:hint="default" w:ascii="Arial" w:hAnsi="Arial" w:eastAsia="Arial" w:cs="Arial"/>
          <w:i w:val="0"/>
          <w:iCs w:val="0"/>
          <w:caps w:val="0"/>
          <w:color w:val="565862"/>
          <w:spacing w:val="0"/>
          <w:kern w:val="0"/>
          <w:sz w:val="19"/>
          <w:szCs w:val="19"/>
          <w:bdr w:val="none" w:color="auto" w:sz="0" w:space="0"/>
          <w:lang w:val="en-US" w:eastAsia="zh-CN" w:bidi="ar"/>
        </w:rPr>
        <w:br w:type="textWrapping"/>
      </w:r>
      <w:r>
        <w:rPr>
          <w:rFonts w:ascii="宋体" w:hAnsi="宋体" w:eastAsia="宋体" w:cs="宋体"/>
          <w:i w:val="0"/>
          <w:iCs w:val="0"/>
          <w:caps w:val="0"/>
          <w:color w:val="565862"/>
          <w:spacing w:val="0"/>
          <w:kern w:val="0"/>
          <w:sz w:val="19"/>
          <w:szCs w:val="19"/>
          <w:bdr w:val="none" w:color="auto" w:sz="0" w:space="0"/>
          <w:lang w:val="en-US" w:eastAsia="zh-CN" w:bidi="ar"/>
        </w:rPr>
        <w:t>  </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（十一）优化重点区域政策体系。</w:t>
      </w:r>
      <w:r>
        <w:rPr>
          <w:rFonts w:ascii="宋体" w:hAnsi="宋体" w:eastAsia="宋体" w:cs="宋体"/>
          <w:i w:val="0"/>
          <w:iCs w:val="0"/>
          <w:caps w:val="0"/>
          <w:color w:val="565862"/>
          <w:spacing w:val="0"/>
          <w:kern w:val="0"/>
          <w:sz w:val="19"/>
          <w:szCs w:val="19"/>
          <w:bdr w:val="none" w:color="auto" w:sz="0" w:space="0"/>
          <w:lang w:val="en-US" w:eastAsia="zh-CN" w:bidi="ar"/>
        </w:rPr>
        <w:t>聚焦粤港澳大湾区、长三角、京津冀等重点区域产业发展重大任务，落实长江经济带、黄河流域等区域发展有关重大部署，结合区域特点制定完善当地发展规划、产业政策以及优化营商环境行动方案，加大精准支持力度，提升产业支撑能力。发挥国家级新区、承接产业转移示范区等作用，有序承接国内外产业转移。鼓励地方立足自身特色和优势，打造战略性新兴产业集群，培育发展先进制造业集群，构建各具特色、优势互补、结构合理的集群发展格局。不断总结和宣传推广地方和企业振作工业经济好经验好做法。</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（发展改革委、工业和信息化部、全国工商联按职责分工负责）</w:t>
      </w:r>
      <w:r>
        <w:rPr>
          <w:rFonts w:hint="default" w:ascii="Arial" w:hAnsi="Arial" w:eastAsia="Arial" w:cs="Arial"/>
          <w:i w:val="0"/>
          <w:iCs w:val="0"/>
          <w:caps w:val="0"/>
          <w:color w:val="565862"/>
          <w:spacing w:val="0"/>
          <w:kern w:val="0"/>
          <w:sz w:val="19"/>
          <w:szCs w:val="19"/>
          <w:bdr w:val="none" w:color="auto" w:sz="0" w:space="0"/>
          <w:lang w:val="en-US" w:eastAsia="zh-CN" w:bidi="ar"/>
        </w:rPr>
        <w:br w:type="textWrapping"/>
      </w:r>
      <w:r>
        <w:rPr>
          <w:rFonts w:ascii="宋体" w:hAnsi="宋体" w:eastAsia="宋体" w:cs="宋体"/>
          <w:i w:val="0"/>
          <w:iCs w:val="0"/>
          <w:caps w:val="0"/>
          <w:color w:val="565862"/>
          <w:spacing w:val="0"/>
          <w:kern w:val="0"/>
          <w:sz w:val="19"/>
          <w:szCs w:val="19"/>
          <w:bdr w:val="none" w:color="auto" w:sz="0" w:space="0"/>
          <w:lang w:val="en-US" w:eastAsia="zh-CN" w:bidi="ar"/>
        </w:rPr>
        <w:t>  </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（十二）强化能效标准引领。</w:t>
      </w:r>
      <w:r>
        <w:rPr>
          <w:rFonts w:ascii="宋体" w:hAnsi="宋体" w:eastAsia="宋体" w:cs="宋体"/>
          <w:i w:val="0"/>
          <w:iCs w:val="0"/>
          <w:caps w:val="0"/>
          <w:color w:val="565862"/>
          <w:spacing w:val="0"/>
          <w:kern w:val="0"/>
          <w:sz w:val="19"/>
          <w:szCs w:val="19"/>
          <w:bdr w:val="none" w:color="auto" w:sz="0" w:space="0"/>
          <w:lang w:val="en-US" w:eastAsia="zh-CN" w:bidi="ar"/>
        </w:rPr>
        <w:t>科学确定石化、有色、建材等重点领域能效标杆水平和基准水平，明确目标方向，突出标准引领，严格能效约束，组织一批节能降碳技术改造项目，开展节能降碳技术示范应用，提高行业节能降碳水平。推动钢铁、电解铝、水泥、平板玻璃等重点行业和数据中心加大节能力度，加快工业节能减碳技术装备推广应用。加大能耗标准制修订、宣贯推广工作力度，建立动态提高能效标杆水平和基准水平机制，完善能源核算、检测认证、评估、审计等配套标准。</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（发展改革委、工业和信息化部、市场监管总局按职责分工负责）</w:t>
      </w:r>
      <w:r>
        <w:rPr>
          <w:rFonts w:hint="default" w:ascii="Arial" w:hAnsi="Arial" w:eastAsia="Arial" w:cs="Arial"/>
          <w:i w:val="0"/>
          <w:iCs w:val="0"/>
          <w:caps w:val="0"/>
          <w:color w:val="565862"/>
          <w:spacing w:val="0"/>
          <w:kern w:val="0"/>
          <w:sz w:val="19"/>
          <w:szCs w:val="19"/>
          <w:bdr w:val="none" w:color="auto" w:sz="0" w:space="0"/>
          <w:lang w:val="en-US" w:eastAsia="zh-CN" w:bidi="ar"/>
        </w:rPr>
        <w:br w:type="textWrapping"/>
      </w:r>
      <w:r>
        <w:rPr>
          <w:rFonts w:ascii="宋体" w:hAnsi="宋体" w:eastAsia="宋体" w:cs="宋体"/>
          <w:i w:val="0"/>
          <w:iCs w:val="0"/>
          <w:caps w:val="0"/>
          <w:color w:val="565862"/>
          <w:spacing w:val="0"/>
          <w:kern w:val="0"/>
          <w:sz w:val="19"/>
          <w:szCs w:val="19"/>
          <w:bdr w:val="none" w:color="auto" w:sz="0" w:space="0"/>
          <w:lang w:val="en-US" w:eastAsia="zh-CN" w:bidi="ar"/>
        </w:rPr>
        <w:t>  </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（十三）加大制造业融资支持。</w:t>
      </w:r>
      <w:r>
        <w:rPr>
          <w:rFonts w:ascii="宋体" w:hAnsi="宋体" w:eastAsia="宋体" w:cs="宋体"/>
          <w:i w:val="0"/>
          <w:iCs w:val="0"/>
          <w:caps w:val="0"/>
          <w:color w:val="565862"/>
          <w:spacing w:val="0"/>
          <w:kern w:val="0"/>
          <w:sz w:val="19"/>
          <w:szCs w:val="19"/>
          <w:bdr w:val="none" w:color="auto" w:sz="0" w:space="0"/>
          <w:lang w:val="en-US" w:eastAsia="zh-CN" w:bidi="ar"/>
        </w:rPr>
        <w:t>紧密结合制造业企业生产经营周期，合理确定融资期限，增加制造业中长期贷款投放，提升融资支持的精准性和有效性。完善制造业中长期融资考核评价机制。开展“补贷保”联动试点。支持符合条件的企业发行公司信用类债券，推广以信息共享为基础的“信易贷”模式。稳妥推进基础设施领域不动产投资信托基金（REITs）试点，完善配套支持机制。深化产融合作，完善绿色金融标准体系和评价机制，落实产融合作推动工业绿色发展专项政策，建立工业绿色发展指导目录和项目库，发挥国家产融合作平台作用，引导金融资源向工业绿色低碳领域汇聚。</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（发展改革委、工业和信息化部、人民银行、银保监会、证监会按职责分工负责）</w:t>
      </w:r>
      <w:r>
        <w:rPr>
          <w:rFonts w:hint="default" w:ascii="Arial" w:hAnsi="Arial" w:eastAsia="Arial" w:cs="Arial"/>
          <w:i w:val="0"/>
          <w:iCs w:val="0"/>
          <w:caps w:val="0"/>
          <w:color w:val="565862"/>
          <w:spacing w:val="0"/>
          <w:kern w:val="0"/>
          <w:sz w:val="19"/>
          <w:szCs w:val="19"/>
          <w:bdr w:val="none" w:color="auto" w:sz="0" w:space="0"/>
          <w:lang w:val="en-US" w:eastAsia="zh-CN" w:bidi="ar"/>
        </w:rPr>
        <w:br w:type="textWrapping"/>
      </w:r>
      <w:r>
        <w:rPr>
          <w:rFonts w:ascii="宋体" w:hAnsi="宋体" w:eastAsia="宋体" w:cs="宋体"/>
          <w:i w:val="0"/>
          <w:iCs w:val="0"/>
          <w:caps w:val="0"/>
          <w:color w:val="565862"/>
          <w:spacing w:val="0"/>
          <w:kern w:val="0"/>
          <w:sz w:val="19"/>
          <w:szCs w:val="19"/>
          <w:bdr w:val="none" w:color="auto" w:sz="0" w:space="0"/>
          <w:lang w:val="en-US" w:eastAsia="zh-CN" w:bidi="ar"/>
        </w:rPr>
        <w:t>  </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（十四）破解企业用工难题。</w:t>
      </w:r>
      <w:r>
        <w:rPr>
          <w:rFonts w:ascii="宋体" w:hAnsi="宋体" w:eastAsia="宋体" w:cs="宋体"/>
          <w:i w:val="0"/>
          <w:iCs w:val="0"/>
          <w:caps w:val="0"/>
          <w:color w:val="565862"/>
          <w:spacing w:val="0"/>
          <w:kern w:val="0"/>
          <w:sz w:val="19"/>
          <w:szCs w:val="19"/>
          <w:bdr w:val="none" w:color="auto" w:sz="0" w:space="0"/>
          <w:lang w:val="en-US" w:eastAsia="zh-CN" w:bidi="ar"/>
        </w:rPr>
        <w:t>开展大规模多层次职业技能培训，促进产业用工需求和职业技能培训有效衔接，提高劳动者适应产业转型升级能力。提升公共就业服务质量，完善劳动力供需双方信息发布和对接机制，大力发展人力资源服务业，严厉打击侵害劳动者就业权益行为，规范用工市场，提高人力资源配置效率。加快完善中西部和东北地区基础设施，提升产业集聚区公共服务效能，引导制造业向中西部和东北地区有序梯度转移，吸纳当地劳动力就业。</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（发展改革委、人力资源社会保障部按职责分工负责）</w:t>
      </w:r>
      <w:r>
        <w:rPr>
          <w:rFonts w:hint="default" w:ascii="Arial" w:hAnsi="Arial" w:eastAsia="Arial" w:cs="Arial"/>
          <w:i w:val="0"/>
          <w:iCs w:val="0"/>
          <w:caps w:val="0"/>
          <w:color w:val="565862"/>
          <w:spacing w:val="0"/>
          <w:kern w:val="0"/>
          <w:sz w:val="19"/>
          <w:szCs w:val="19"/>
          <w:bdr w:val="none" w:color="auto" w:sz="0" w:space="0"/>
          <w:lang w:val="en-US" w:eastAsia="zh-CN" w:bidi="ar"/>
        </w:rPr>
        <w:br w:type="textWrapping"/>
      </w:r>
      <w:r>
        <w:rPr>
          <w:rFonts w:ascii="宋体" w:hAnsi="宋体" w:eastAsia="宋体" w:cs="宋体"/>
          <w:i w:val="0"/>
          <w:iCs w:val="0"/>
          <w:caps w:val="0"/>
          <w:color w:val="565862"/>
          <w:spacing w:val="0"/>
          <w:kern w:val="0"/>
          <w:sz w:val="19"/>
          <w:szCs w:val="19"/>
          <w:bdr w:val="none" w:color="auto" w:sz="0" w:space="0"/>
          <w:lang w:val="en-US" w:eastAsia="zh-CN" w:bidi="ar"/>
        </w:rPr>
        <w:t>  </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四、优化发展环境，促进工业经济行稳致远</w:t>
      </w:r>
      <w:r>
        <w:rPr>
          <w:rFonts w:hint="default" w:ascii="Arial" w:hAnsi="Arial" w:eastAsia="Arial" w:cs="Arial"/>
          <w:i w:val="0"/>
          <w:iCs w:val="0"/>
          <w:caps w:val="0"/>
          <w:color w:val="565862"/>
          <w:spacing w:val="0"/>
          <w:kern w:val="0"/>
          <w:sz w:val="19"/>
          <w:szCs w:val="19"/>
          <w:bdr w:val="none" w:color="auto" w:sz="0" w:space="0"/>
          <w:lang w:val="en-US" w:eastAsia="zh-CN" w:bidi="ar"/>
        </w:rPr>
        <w:br w:type="textWrapping"/>
      </w:r>
      <w:r>
        <w:rPr>
          <w:rFonts w:ascii="宋体" w:hAnsi="宋体" w:eastAsia="宋体" w:cs="宋体"/>
          <w:i w:val="0"/>
          <w:iCs w:val="0"/>
          <w:caps w:val="0"/>
          <w:color w:val="565862"/>
          <w:spacing w:val="0"/>
          <w:kern w:val="0"/>
          <w:sz w:val="19"/>
          <w:szCs w:val="19"/>
          <w:bdr w:val="none" w:color="auto" w:sz="0" w:space="0"/>
          <w:lang w:val="en-US" w:eastAsia="zh-CN" w:bidi="ar"/>
        </w:rPr>
        <w:t>  </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（十五）减轻中小企业负担。</w:t>
      </w:r>
      <w:r>
        <w:rPr>
          <w:rFonts w:ascii="宋体" w:hAnsi="宋体" w:eastAsia="宋体" w:cs="宋体"/>
          <w:i w:val="0"/>
          <w:iCs w:val="0"/>
          <w:caps w:val="0"/>
          <w:color w:val="565862"/>
          <w:spacing w:val="0"/>
          <w:kern w:val="0"/>
          <w:sz w:val="19"/>
          <w:szCs w:val="19"/>
          <w:bdr w:val="none" w:color="auto" w:sz="0" w:space="0"/>
          <w:lang w:val="en-US" w:eastAsia="zh-CN" w:bidi="ar"/>
        </w:rPr>
        <w:t>落实好支持制造业中小企业的助企纾困政策，加大对涉企违规收费的整治力度。加大保障中小企业款项支付条例落实力度，运用市场化法治化手段规范款项支付秩序，健全防范和化解拖欠账款长效机制。鼓励地方安排中小企业纾困专项资金，对符合条件的中小企业给予资金等支持。用好直达实体经济货币政策工具和支小再贷款，加大普惠小微企业信用贷款投放。鼓励有条件的地方建立支持小微企业的贷款风险分担补偿机制。用好小微企业融资担保降费奖补资金，促进扩大小微企业担保业务规模，降低融资担保成本。落实减税降费政策，对制造业中小微企业延缓缴纳今年四季度部分税费。研究并适时出台部分惠企政策到期后的接续政策，鼓励地方有针对性出台帮扶措施。对确有困难的纳税人，地方可按现行规定减免房产税、城镇土地使用税。</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（发展改革委、工业和信息化部、财政部、人力资源社会保障部、人民银行、国资委、税务总局、市场监管总局按职责分工负责）</w:t>
      </w:r>
      <w:r>
        <w:rPr>
          <w:rFonts w:hint="default" w:ascii="Arial" w:hAnsi="Arial" w:eastAsia="Arial" w:cs="Arial"/>
          <w:i w:val="0"/>
          <w:iCs w:val="0"/>
          <w:caps w:val="0"/>
          <w:color w:val="565862"/>
          <w:spacing w:val="0"/>
          <w:kern w:val="0"/>
          <w:sz w:val="19"/>
          <w:szCs w:val="19"/>
          <w:bdr w:val="none" w:color="auto" w:sz="0" w:space="0"/>
          <w:lang w:val="en-US" w:eastAsia="zh-CN" w:bidi="ar"/>
        </w:rPr>
        <w:br w:type="textWrapping"/>
      </w:r>
      <w:r>
        <w:rPr>
          <w:rFonts w:ascii="宋体" w:hAnsi="宋体" w:eastAsia="宋体" w:cs="宋体"/>
          <w:i w:val="0"/>
          <w:iCs w:val="0"/>
          <w:caps w:val="0"/>
          <w:color w:val="565862"/>
          <w:spacing w:val="0"/>
          <w:kern w:val="0"/>
          <w:sz w:val="19"/>
          <w:szCs w:val="19"/>
          <w:bdr w:val="none" w:color="auto" w:sz="0" w:space="0"/>
          <w:lang w:val="en-US" w:eastAsia="zh-CN" w:bidi="ar"/>
        </w:rPr>
        <w:t>  </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（十六）优化市场环境。</w:t>
      </w:r>
      <w:r>
        <w:rPr>
          <w:rFonts w:ascii="宋体" w:hAnsi="宋体" w:eastAsia="宋体" w:cs="宋体"/>
          <w:i w:val="0"/>
          <w:iCs w:val="0"/>
          <w:caps w:val="0"/>
          <w:color w:val="565862"/>
          <w:spacing w:val="0"/>
          <w:kern w:val="0"/>
          <w:sz w:val="19"/>
          <w:szCs w:val="19"/>
          <w:bdr w:val="none" w:color="auto" w:sz="0" w:space="0"/>
          <w:lang w:val="en-US" w:eastAsia="zh-CN" w:bidi="ar"/>
        </w:rPr>
        <w:t>建立完善《优化营商环境条例》专项执法检查常态化机制，督促各地区严格落实条例规定。建立健全制度化的政企互动机制，落实好企业家参与涉企政策制定机制，推动构建亲清政商关系。加强制定政策的事先评估和事后评价。鼓励和支持各地区结合本地产业发展特点，在保护市场主体权益、完善政务服务等方面出台更为有力有效的改革举措，分批复制推广。大力弘扬工业经济优秀企业家精神。</w:t>
      </w:r>
      <w:r>
        <w:rPr>
          <w:rStyle w:val="5"/>
          <w:rFonts w:hint="default" w:ascii="Arial" w:hAnsi="Arial" w:eastAsia="Arial" w:cs="Arial"/>
          <w:i w:val="0"/>
          <w:iCs w:val="0"/>
          <w:caps w:val="0"/>
          <w:color w:val="565862"/>
          <w:spacing w:val="0"/>
          <w:kern w:val="0"/>
          <w:sz w:val="19"/>
          <w:szCs w:val="19"/>
          <w:bdr w:val="none" w:color="auto" w:sz="0" w:space="0"/>
          <w:lang w:val="en-US" w:eastAsia="zh-CN" w:bidi="ar"/>
        </w:rPr>
        <w:t>（发展改革委、全国工商联按职责分工负责）</w:t>
      </w:r>
      <w:r>
        <w:rPr>
          <w:rFonts w:hint="default" w:ascii="Arial" w:hAnsi="Arial" w:eastAsia="Arial" w:cs="Arial"/>
          <w:i w:val="0"/>
          <w:iCs w:val="0"/>
          <w:caps w:val="0"/>
          <w:color w:val="565862"/>
          <w:spacing w:val="0"/>
          <w:kern w:val="0"/>
          <w:sz w:val="19"/>
          <w:szCs w:val="19"/>
          <w:bdr w:val="none" w:color="auto" w:sz="0" w:space="0"/>
          <w:lang w:val="en-US" w:eastAsia="zh-CN" w:bidi="ar"/>
        </w:rPr>
        <w:br w:type="textWrapping"/>
      </w:r>
      <w:r>
        <w:rPr>
          <w:rFonts w:ascii="宋体" w:hAnsi="宋体" w:eastAsia="宋体" w:cs="宋体"/>
          <w:i w:val="0"/>
          <w:iCs w:val="0"/>
          <w:caps w:val="0"/>
          <w:color w:val="565862"/>
          <w:spacing w:val="0"/>
          <w:kern w:val="0"/>
          <w:sz w:val="19"/>
          <w:szCs w:val="19"/>
          <w:bdr w:val="none" w:color="auto" w:sz="0" w:space="0"/>
          <w:lang w:val="en-US" w:eastAsia="zh-CN" w:bidi="ar"/>
        </w:rPr>
        <w:t>  各有关方面要切实把思想和行动统一到党中央、国务院决策部署上来，进一步提高站位、坚定信心，统筹发展和安全，强化责任担当、主动作为，以高度的责任感和使命感，抓好政策落地落细落实，同时加强对工业经济运行态势的跟踪监测，深入分析研判苗头性倾向性潜在性问题，强化预研预判，做好政策储备，全力以赴振作工业经济运行，推动工业高质量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center"/>
        <w:rPr>
          <w:rFonts w:hint="default" w:ascii="Arial" w:hAnsi="Arial" w:eastAsia="Arial" w:cs="Arial"/>
          <w:i w:val="0"/>
          <w:iCs w:val="0"/>
          <w:caps w:val="0"/>
          <w:color w:val="565862"/>
          <w:spacing w:val="0"/>
          <w:sz w:val="19"/>
          <w:szCs w:val="19"/>
        </w:rPr>
      </w:pPr>
      <w:r>
        <w:rPr>
          <w:rFonts w:ascii="宋体" w:hAnsi="宋体" w:eastAsia="宋体" w:cs="宋体"/>
          <w:i w:val="0"/>
          <w:iCs w:val="0"/>
          <w:caps w:val="0"/>
          <w:color w:val="565862"/>
          <w:spacing w:val="0"/>
          <w:kern w:val="0"/>
          <w:sz w:val="19"/>
          <w:szCs w:val="19"/>
          <w:bdr w:val="none" w:color="auto" w:sz="0" w:space="0"/>
          <w:lang w:val="en-US" w:eastAsia="zh-CN" w:bidi="ar"/>
        </w:rPr>
        <w:t>国家发展改革委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center"/>
        <w:rPr>
          <w:rFonts w:hint="default" w:ascii="Arial" w:hAnsi="Arial" w:eastAsia="Arial" w:cs="Arial"/>
          <w:i w:val="0"/>
          <w:iCs w:val="0"/>
          <w:caps w:val="0"/>
          <w:color w:val="565862"/>
          <w:spacing w:val="0"/>
          <w:sz w:val="19"/>
          <w:szCs w:val="19"/>
        </w:rPr>
      </w:pPr>
      <w:r>
        <w:rPr>
          <w:rFonts w:hint="default" w:ascii="Arial" w:hAnsi="Arial" w:eastAsia="Arial" w:cs="Arial"/>
          <w:i w:val="0"/>
          <w:iCs w:val="0"/>
          <w:caps w:val="0"/>
          <w:color w:val="565862"/>
          <w:spacing w:val="0"/>
          <w:kern w:val="0"/>
          <w:sz w:val="19"/>
          <w:szCs w:val="19"/>
          <w:bdr w:val="none" w:color="auto" w:sz="0" w:space="0"/>
          <w:lang w:val="en-US" w:eastAsia="zh-CN" w:bidi="ar"/>
        </w:rPr>
        <w:t>工业和信息化部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center"/>
        <w:rPr>
          <w:rFonts w:hint="default" w:ascii="Arial" w:hAnsi="Arial" w:eastAsia="Arial" w:cs="Arial"/>
          <w:i w:val="0"/>
          <w:iCs w:val="0"/>
          <w:caps w:val="0"/>
          <w:color w:val="565862"/>
          <w:spacing w:val="0"/>
          <w:sz w:val="19"/>
          <w:szCs w:val="19"/>
        </w:rPr>
      </w:pPr>
      <w:r>
        <w:rPr>
          <w:rFonts w:hint="default" w:ascii="Arial" w:hAnsi="Arial" w:eastAsia="Arial" w:cs="Arial"/>
          <w:i w:val="0"/>
          <w:iCs w:val="0"/>
          <w:caps w:val="0"/>
          <w:color w:val="565862"/>
          <w:spacing w:val="0"/>
          <w:kern w:val="0"/>
          <w:sz w:val="19"/>
          <w:szCs w:val="19"/>
          <w:bdr w:val="none" w:color="auto" w:sz="0" w:space="0"/>
          <w:lang w:val="en-US" w:eastAsia="zh-CN" w:bidi="ar"/>
        </w:rPr>
        <w:t>2021年12月8日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line="360" w:lineRule="atLeast"/>
        <w:ind w:left="0" w:right="0"/>
        <w:rPr>
          <w:color w:val="333333"/>
          <w:sz w:val="24"/>
          <w:szCs w:val="2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ingFangSC-Regular">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62362"/>
    <w:rsid w:val="5B7C3D11"/>
    <w:rsid w:val="6EF62362"/>
    <w:rsid w:val="71E26728"/>
    <w:rsid w:val="ED370C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2022-03-21T09:04:00Z</dcterms:created>
  <dc:creator>greatwall</dc:creator>
  <cp:lastModifiedBy>Administrator</cp:lastModifiedBy>
  <dcterms:modified xsi:type="dcterms:W3CDTF">2022-05-11T01:38:43Z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AD07B7B1C4BE4BC3BB3ECA7B70BE0405</vt:lpwstr>
  </property>
</Properties>
</file>