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right="0"/>
        <w:jc w:val="center"/>
        <w:rPr>
          <w:rFonts w:ascii="Noto Sans" w:hAnsi="Noto Sans" w:eastAsia="Noto Sans" w:cs="Noto Sans"/>
          <w:i w:val="0"/>
          <w:caps w:val="0"/>
          <w:color w:val="666666"/>
          <w:spacing w:val="0"/>
          <w:sz w:val="24"/>
          <w:szCs w:val="24"/>
        </w:rPr>
      </w:pPr>
      <w:r>
        <w:rPr>
          <w:rStyle w:val="5"/>
          <w:rFonts w:ascii="黑体" w:hAnsi="宋体" w:eastAsia="黑体" w:cs="黑体"/>
          <w:b/>
          <w:i w:val="0"/>
          <w:caps w:val="0"/>
          <w:color w:val="666666"/>
          <w:spacing w:val="0"/>
          <w:sz w:val="43"/>
          <w:szCs w:val="43"/>
          <w:shd w:val="clear" w:color="auto" w:fill="FFFFFF"/>
        </w:rPr>
        <w:t>佳木斯市人民政府办公室关于印发佳木斯市促进现代畜牧业高质量发展若干政策措施的通知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center"/>
        <w:rPr>
          <w:rFonts w:hint="default" w:ascii="Noto Sans" w:hAnsi="Noto Sans" w:eastAsia="Noto Sans" w:cs="Noto Sans"/>
          <w:i w:val="0"/>
          <w:caps w:val="0"/>
          <w:color w:val="666666"/>
          <w:spacing w:val="0"/>
          <w:sz w:val="24"/>
          <w:szCs w:val="24"/>
        </w:rPr>
      </w:pPr>
      <w:r>
        <w:rPr>
          <w:rFonts w:ascii="微软雅黑" w:hAnsi="微软雅黑" w:eastAsia="微软雅黑" w:cs="微软雅黑"/>
          <w:i w:val="0"/>
          <w:caps w:val="0"/>
          <w:color w:val="666666"/>
          <w:spacing w:val="0"/>
          <w:sz w:val="24"/>
          <w:szCs w:val="24"/>
          <w:shd w:val="clear" w:color="auto" w:fill="FFFFFF"/>
        </w:rPr>
        <w:t>佳政办规〔</w:t>
      </w:r>
      <w:r>
        <w:rPr>
          <w:rFonts w:hint="default" w:ascii="微软雅黑" w:hAnsi="微软雅黑" w:eastAsia="微软雅黑" w:cs="微软雅黑"/>
          <w:i w:val="0"/>
          <w:caps w:val="0"/>
          <w:color w:val="666666"/>
          <w:spacing w:val="0"/>
          <w:sz w:val="24"/>
          <w:szCs w:val="24"/>
          <w:shd w:val="clear" w:color="auto" w:fill="FFFFFF"/>
        </w:rPr>
        <w:t>2021〕25号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2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各县（市）区人民政府，市政府各直属单位：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《佳木斯市促进现代畜牧业高质量发展若干政策措施》已经市政府同意，现印发给你们，请认真贯彻执行。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righ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佳木斯市人民政府办公室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righ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2021年12月19日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righ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center"/>
        <w:rPr>
          <w:rFonts w:hint="default" w:ascii="微软雅黑" w:hAnsi="微软雅黑" w:eastAsia="微软雅黑" w:cs="微软雅黑"/>
          <w:i w:val="0"/>
          <w:caps w:val="0"/>
          <w:color w:val="666666"/>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center"/>
        <w:rPr>
          <w:rFonts w:hint="default" w:ascii="微软雅黑" w:hAnsi="微软雅黑" w:eastAsia="微软雅黑" w:cs="微软雅黑"/>
          <w:i w:val="0"/>
          <w:caps w:val="0"/>
          <w:color w:val="666666"/>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center"/>
        <w:rPr>
          <w:rFonts w:hint="default" w:ascii="微软雅黑" w:hAnsi="微软雅黑" w:eastAsia="微软雅黑" w:cs="微软雅黑"/>
          <w:i w:val="0"/>
          <w:caps w:val="0"/>
          <w:color w:val="666666"/>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center"/>
        <w:rPr>
          <w:rFonts w:hint="default" w:ascii="微软雅黑" w:hAnsi="微软雅黑" w:eastAsia="微软雅黑" w:cs="微软雅黑"/>
          <w:i w:val="0"/>
          <w:caps w:val="0"/>
          <w:color w:val="666666"/>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center"/>
        <w:rPr>
          <w:rFonts w:hint="default" w:ascii="微软雅黑" w:hAnsi="微软雅黑" w:eastAsia="微软雅黑" w:cs="微软雅黑"/>
          <w:i w:val="0"/>
          <w:caps w:val="0"/>
          <w:color w:val="666666"/>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center"/>
        <w:rPr>
          <w:rFonts w:hint="default" w:ascii="微软雅黑" w:hAnsi="微软雅黑" w:eastAsia="微软雅黑" w:cs="微软雅黑"/>
          <w:i w:val="0"/>
          <w:caps w:val="0"/>
          <w:color w:val="666666"/>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center"/>
        <w:rPr>
          <w:rFonts w:hint="default" w:ascii="微软雅黑" w:hAnsi="微软雅黑" w:eastAsia="微软雅黑" w:cs="微软雅黑"/>
          <w:i w:val="0"/>
          <w:caps w:val="0"/>
          <w:color w:val="666666"/>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center"/>
        <w:rPr>
          <w:rFonts w:hint="default" w:ascii="微软雅黑" w:hAnsi="微软雅黑" w:eastAsia="微软雅黑" w:cs="微软雅黑"/>
          <w:i w:val="0"/>
          <w:caps w:val="0"/>
          <w:color w:val="666666"/>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center"/>
        <w:rPr>
          <w:rFonts w:hint="default" w:ascii="微软雅黑" w:hAnsi="微软雅黑" w:eastAsia="微软雅黑" w:cs="微软雅黑"/>
          <w:i w:val="0"/>
          <w:caps w:val="0"/>
          <w:color w:val="666666"/>
          <w:spacing w:val="0"/>
          <w:sz w:val="24"/>
          <w:szCs w:val="2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right="0"/>
        <w:jc w:val="center"/>
        <w:rPr>
          <w:rFonts w:hint="eastAsia" w:ascii="宋体" w:hAnsi="宋体" w:eastAsia="宋体" w:cs="宋体"/>
          <w:b/>
          <w:bCs/>
          <w:i w:val="0"/>
          <w:caps w:val="0"/>
          <w:color w:val="666666"/>
          <w:spacing w:val="0"/>
          <w:sz w:val="44"/>
          <w:szCs w:val="44"/>
        </w:rPr>
      </w:pPr>
      <w:r>
        <w:rPr>
          <w:rFonts w:hint="eastAsia" w:ascii="宋体" w:hAnsi="宋体" w:eastAsia="宋体" w:cs="宋体"/>
          <w:b/>
          <w:bCs/>
          <w:i w:val="0"/>
          <w:caps w:val="0"/>
          <w:color w:val="666666"/>
          <w:spacing w:val="0"/>
          <w:sz w:val="44"/>
          <w:szCs w:val="44"/>
          <w:shd w:val="clear" w:color="auto" w:fill="FFFFFF"/>
        </w:rPr>
        <w:t>佳木斯市促进现代畜牧业高质量发</w:t>
      </w:r>
      <w:bookmarkStart w:id="0" w:name="_GoBack"/>
      <w:bookmarkEnd w:id="0"/>
      <w:r>
        <w:rPr>
          <w:rFonts w:hint="eastAsia" w:ascii="宋体" w:hAnsi="宋体" w:eastAsia="宋体" w:cs="宋体"/>
          <w:b/>
          <w:bCs/>
          <w:i w:val="0"/>
          <w:caps w:val="0"/>
          <w:color w:val="666666"/>
          <w:spacing w:val="0"/>
          <w:sz w:val="44"/>
          <w:szCs w:val="44"/>
          <w:shd w:val="clear" w:color="auto" w:fill="FFFFFF"/>
        </w:rPr>
        <w:t>展若干政策措施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为贯彻落实《佳木斯市关于促进现代畜牧业高质量发展的意见》（佳办字〔2021〕31号）精神，推动我市畜牧业高质量发展，依据国家和省政策意见，借鉴畜牧业发达地区经验，结合我市实际，制定以下若干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一、加快奶业振兴的政策措施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（一）奶源基地建设支持政策。新建规模牧场畜禽废弃物处理达到国家环保要求时，享受以下政策：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1.购牛补贴支持政策。对新建的设计存栏量1000头以上的奶牛牧场，市域外购进8月龄以上奶牛，达到设计存栏量50%时，设计存栏1000—3000头（不含3000头）牧场，按500元/头标准（县级500元/头）给予补贴；3000—6000头（不含6000头）牧场，按1000元/头标准（市本级300元/头，县级700元/头）给予补贴；6000—12000头（不含12000头）牧场，按1500元/头标准（市本级500元/头，县级1000元/头）给予补贴，补贴形式以先见（见牛外购手续、见牛入场）后补方式发放。市外购牛以产地检疫证明和交易单据为补贴依据，国外进口奶牛以进口时海关报关单和购***为补贴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2.饲料地配套支持政策。对新建的设计存栏量1000头以上的奶牛牧场，按照每头奶牛2—3亩标准协调饲料用地，并给予饲料地租赁费补贴270元/亩，补贴时限暂定10年。牧场实际存栏量在设计存栏量的30—50%（不含）时，当年享受饲料地租赁费补贴120元/亩，牧场存栏量低于设计存栏量的30%（不含）时，当年不享受饲料地租赁费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3.牧场养殖用地支持政策。对新建的设计存栏量1000头以上的奶牛牧场，按每头牛占地50—80平方米规划，政府负责协调牧场建设用地，用地按设施农业用地管理，按照省自然资源厅、农业农村厅《关于规范设施农业用地管理促进现代农业健康发展的通知》（黑自然资规〔2020〕1号）相关规定执行。土地租金补贴政策由项目所在县（市）区与牧场按照“一事一议”的方式决定，牧场建设两年内没有实质性利用的，收回政府补贴。牧场建设期间政府负责“四通一平”建设，即通水、通电、通路、通排水及场地平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4.机械设备补贴支持政策。积极向上级争取政策支持，按照农机购置补贴目录，加大对存栏量达到1000头以上的规模牧场购置全混合日粮（TMR）设备以及其它加工储备机械、粪污处理装备机具等的补贴力度。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5.养殖贷款贴息支持政策。利用银行贷款新建规模奶牛牧场，年实际总产奶量达到设计总产奶量的50%时，按以下规模标准分三年给予贷款贴息：设计存栏量3000—6000头（不含6000头）和6000—12000头（不含12000头）的，分别按第一年、第二年、第三年给予贷款利息总额的30%、25%、20%和35%、30%、25%贷款贴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（二）乳品加工项目支持政策。污染物排放达到国家环保标准的项目享受以下政策：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1.乳品加工项目土地使用支持政策。对于引进投资1亿元以上的乳品加工项目，政府负责协调企业建设用地。项目投产运行后，年实际产能达到项目设计产能50%时，固定资产投资1—5亿元（不含5亿元）和5亿元及以上的，分别按实际固定资产投资的3%和4%予以奖励。土地使用权手续办结后，两年没有实质性利用的，各县（市）区政府根据合同内容采取相应处理措施。项目建设期间政府负责“四通一平”建设，即通水、通电、通路、通排水及场地平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2.乳品加工项目运行支持政策。对引进投资1亿元以上的乳品加工项目，项目投产运行后，项目年实际产能达到项目规划设计产能50%时，根据固定资产投资金额给予三年水、电奖励补贴。固定资产投资1—3亿元（不含3亿元）、3—5亿元（不含5亿元）和5亿元及以上的，分别按当年使用水、电费用总额的2%、4%和6%奖励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3.乳品加工项目贷款贴息支持政策。对于引进投资1亿元以上的乳品加工项目，项目投产运行后，项目年实际产能达到项目设计产能50%时，根据固定资产投资金额，分三年按比例给予贷款贴息。固定资产投资1—3亿元（不含3亿元）、3—5亿元（不含5亿元）和5亿元及以上的，分别按第一年、第二年、第三年给予贷款利息总额的30%、20%、10%，40%、30%、20%和50%、40%、30%贷款贴息。年实际产能低于设计产能50%时取消当年贷款贴息，当年奖励补贴标准顺移到下一年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4.乳品加工项目税收支持政策。乳品加工企业自企业投产年度起，年实现税收100—500万元（不含500万元）、500—1000万元（不含1000万元）和1000万元及以上的，分别按第一年、第二年、第三年参照相当于企业缴纳企业所得税地方留成部分30%、20%、10%，40%、30%、20%和50%、40%、30%的额度奖励企业扩大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5.饲料加工项目支持政策。对于引进年饲料加工量15万吨以上的企业项目，政府负责协调企业建设用地，在确定项目用地出让底价时可按不低于所在土地等别相对应的全国工业用地出让最低价标准（《全国工业用地出让最低标准》第十三条）执行。土地使用权手续办结后，两年没有实质性利用的，各县（市）区政府可根据合同内容采取相应处理措施。项目投产运行后，项目年实际产能达到项目规划设计产能50%时，按实际固定资产投资的2%予以奖励，作为产业扶持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（三）其他。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1.若6年内奶牛存栏低于当年补贴时规模，各县（市）区政府根据合同内容采取相应处理措施。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2．除购牛补贴由市、县两级承担外，其他奖励补助政策所需资金由县（市）区政府整合相应涉农资金支付。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3.建设存栏12000头以上的特大型牧场或牧场与乳品加工企业同时建设的重大产业项目，可采取“一事一议”的方式研究制定扶持政策。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4.各县（市）区可结合本地实际，依据本措施制定本地相关扶持政策。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5.本措施自公布之日起实施，有效期至2025年12月31日止。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二、加快发展肉牛肉羊产业政策措施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（一）养殖基地支持政策。对新建或扩建规模化牧场，能繁母牛存栏达200头、能繁母羊1000只以上，畜禽废弃物处理达到国家环保要求时，享受以下政策：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1.规模牧场建设支持政策。对新建或扩建规模化牧场，以能繁母牛存栏达200头、能繁母羊1000只为一个单元，每个单元给予一次性奖励分别为10万元、5万元，最高奖励100万元。奖励形式以先见（见牛、羊外购手续，见牛、羊入场）后奖方式发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2.配套饲料地支持政策。按照每头牛、每15只羊1亩的标准协调饲料用地，并给予饲料地租赁费补贴100元/亩，补贴时限5年。养殖场存栏量在设计存栏量的30—50%（不含）时，当年享受饲料地租赁费补贴50元/亩，牧场存栏量低于设计存栏量的30%（不含）时，当年不享受饲料地租赁费补贴，不再帮助协调饲料用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3.养殖用地支持政策。按每头牛、每15只羊占地20—40平方米标准计算，政府负责协调牧场建设用地，用地按设施农业用地管理，按照省自然资源厅、农业农村厅《关于规范设施农业用地管理促进现代农业健康发展的通知》（黑自然资规〔2020〕1号）相关规定执行。土地使用政策由项目所在县（市）区与牧场建设主体协商确定。规模养殖场建设两年没有实质性利用的，各县（市）区政府根据合同内容采取相应处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4.设备补贴支持政策。积极向上级争取政策支持，按照农机购置补贴目录，加大对新建或扩建的规模牧场购置养殖、饲草料收获加工储备机械、粪污处理装备机械等的补贴力度。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5.贷款贴息支持政策。利用银行贷款新建牧场的，能繁母牛、母羊实际存栏量达到补贴规模的，按贷款利息20%的标准给予一次性贷款贴息；利用银行贷款扩建牧场且达到补贴规模的，按新增加投资中的贷款利息20%的标准给予一次性贷款贴息。贷款贴息最高不超过80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（二）屠宰加工企业支持政策。对引进设计年肉牛屠宰加工能力5万头以上、肉羊屠宰加工能力30万只以上，污染物排放达到国家环保标准的屠宰加工企业享受以下政策：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1.项目土地使用支持政策。对于引进投资5000万元以上的肉牛、肉羊屠宰加工项目，政府负责协调企业建设用地。项目竣工投产后，项目年实际产能达到项目规划设计产能50%时，固定资产投资5000万元至1亿元（不含1亿元）、1亿元至5亿元（不含5亿元）和5亿元及以上的，分别按实际固定资产投资的2%、3%和4%予以奖励。土地使用权手续办结后，两年没有实质性利用的，各县（市）区政府根据合同内容采取相应处理措施。项目建设期间政府负责“四通一平”建设，即通水、通电、通路、通排水及场地平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2.项目建设支持政策。在屠宰加工企业仓储保鲜冷链物流设施建设上，整合发展改革、商务经合、交通运输、农业农村等部门相关政策给予支持。在项目选址、环保审批手续办理及污染防治设施建设方面给予指导和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3.项目税收支持政策。缴纳企业所得税地方留成部分连续三年按30%的额度奖励企业扩大生产。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4.牛羊良种繁育支持政策。新建的国家级肉牛、肉羊核心育种场一次性补助500万元。对新建或扩建规模化牧场，使用胚胎移植技术改良肉牛的每枚胚胎补助200元，使用和牛冻精的按照每剂50元标准给予补贴。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（三）其他。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1.本措施自公布之日起实施，有效期至2025年12月31日止。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2.如投资企业未按合同约定履约，各县（市）区政府根据合同内容采取相应处理措施。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3.本措施中所提的规模牧场建设支持政策资金由市级承担外，其他奖励补贴政策所需资金由县级政府整合相应涉农资金支付。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4.设计存栏能繁母牛2000头、能繁母羊10000只以上的特大型标准化养殖场或同时建设养殖场与屠宰加工厂企业的重大产业项目，可采取一事一议的方式研究相关扶持政策。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5.各县（市）区可结合地方实际，依据本措施制定本地相关扶持政策。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三、促进生猪产业持续健康发展政策措施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（一）产业支持政策。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1.加工项目土地使用支持政策。对于引进投资5000万元及以上的屠宰加工项目，政府负责协调企业建设用地。项目竣工投产后，项目年实际产能达到项目规划设计产能50%时，固定资产投资5000万元至1亿元（不含1亿元）、1亿元至5亿元（不含5亿元）和5亿元及以上的，分别按实际固定资产投资的2%、3%和4%予以奖励。土地使用权手续办结后，两年没有实质性利用的，各县（市）区政府根据合同内容采取相应处理措施。项目建设期间政府负责“四通一平”建设，即通水、通电、通路、通排水及场地平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2.项目建设支持政策。在屠宰加工企业仓储保鲜冷链物流设施建设上，整合发展改革、商务经合、交通运输、农业农村等部门相关政策给予支持。在项目选址、环保审批手续办理及污染防治设施建设方面给予指导和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3.项目税收支持政策。对缴纳企业所得税地方留成部分连续三年按30%的额度奖励企业扩大生产。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4.稳定生猪产业发展金融支持政策。鼓励金融机构推进土地经营权抵押贷款等创新型信贷业务，增加对生猪养殖业的信贷支持。对符合授信条件且发展前景良好，但暂时经营困难的生猪养殖场（户）和屠宰加工企业，不得随意限贷、抽贷、断贷。推进生猪养殖保险，稳定能繁母猪、育肥猪保险保额，依托目前已上市的期货品种，充分利用期货市场套期保值功能，探索推进生猪饲料、生猪价格、生猪收入“保险+期货”项目，增强保险产品吸引力，降低企业经营风险，推动生猪产业健康有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5.优化环境管理服务。按照《建设项目环境影响评价分类名录》（2021版）要求，对年出栏5000头及以上的规模化养殖、存栏生猪2500头及以上无出栏量的规模化畜禽养殖、涉及环境敏感区的规模化畜禽养殖项目实行审批制，对上述情形以外的实行登记备案管理，规模化以下不纳入环评管理。不得以行政手段对养殖场（户）实施强行清退，切实保障养殖场（户）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6.用好生猪调出大县奖励政策。生猪调出大县要利用好生猪调出大县奖励资金，主要用于发展生猪生产等方面的支出，具体支持范围包括：生猪生产环节的圈舍改造、良种引进、粪污处理、防疫、保险及流通加工环节的冷链物流、仓储、加工设施设备等方面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（二）建立生猪生产逆周期调控机制。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1.保持能繁母猪合理存栏水平。动态监控全市能繁母猪月度同比变化情况，当月度同比变化率超过5%时，采取预警引导、鼓励生猪养殖场（户）加快补栏二元母猪或淘汰低产母猪等措施，促使能繁母猪存栏量回归合理区间。当月度同比减少10%或生猪养殖连续亏损3个月以上时，市县两级政府启动救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2.落实分级调控和政策保障。市政府根据省下达的生猪产能调控指标，将能繁母猪存栏量和规模养殖场（户）保有量等指标任务下达各县（市）区，落实“菜篮子”政府主要领导负责制，在生猪产能出现大幅波动时，市县两级将统筹相关资金及时采取临时救助补贴、贷款贴息补助等措施，稳定生猪生产，实现生猪产业持续稳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150" w:beforeAutospacing="0" w:after="150" w:afterAutospacing="0" w:line="480" w:lineRule="atLeast"/>
        <w:ind w:left="0" w:right="0" w:firstLine="480"/>
        <w:jc w:val="left"/>
        <w:rPr>
          <w:rFonts w:hint="default" w:ascii="Noto Sans" w:hAnsi="Noto Sans" w:eastAsia="Noto Sans" w:cs="Noto Sans"/>
          <w:i w:val="0"/>
          <w:caps w:val="0"/>
          <w:color w:val="666666"/>
          <w:spacing w:val="0"/>
          <w:sz w:val="24"/>
          <w:szCs w:val="24"/>
        </w:rPr>
      </w:pPr>
      <w:r>
        <w:rPr>
          <w:rFonts w:hint="default" w:ascii="微软雅黑" w:hAnsi="微软雅黑" w:eastAsia="微软雅黑" w:cs="微软雅黑"/>
          <w:i w:val="0"/>
          <w:caps w:val="0"/>
          <w:color w:val="666666"/>
          <w:spacing w:val="0"/>
          <w:sz w:val="24"/>
          <w:szCs w:val="24"/>
          <w:shd w:val="clear" w:color="auto" w:fill="FFFFFF"/>
        </w:rPr>
        <w:t>3.强化疫病防控保障产业安全。落实动物防疫地方政府属地管理、行业部门监管和生产经营者主体等三方责任。统筹做好非洲猪瘟以及口蹄疫、猪瘟、高致病性猪蓝耳病等重大动物疫病防控工作。加强疫病防控技术培训和分类指导，提升养猪场（户）生物安全防护水平。依托现有机构编制资源，建立健全动物卫生监督机构和动物疫病预防控制机构，支持县级动物疫病预防控制中心完善设施装备，加强乡镇畜牧兽医站建设。落实动物防疫执法责任，强化动物防疫执法力量。</w:t>
      </w:r>
    </w:p>
    <w:p>
      <w:pPr>
        <w:shd w:val="clear"/>
      </w:pPr>
    </w:p>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Noto Sans">
    <w:altName w:val="Segoe UI Light"/>
    <w:panose1 w:val="020B0502040504020204"/>
    <w:charset w:val="00"/>
    <w:family w:val="auto"/>
    <w:pitch w:val="default"/>
    <w:sig w:usb0="00000000" w:usb1="00000000" w:usb2="00000000" w:usb3="00000000" w:csb0="2000019F" w:csb1="DFD70000"/>
  </w:font>
  <w:font w:name="Segoe UI Light">
    <w:panose1 w:val="020B0502040204020203"/>
    <w:charset w:val="00"/>
    <w:family w:val="auto"/>
    <w:pitch w:val="default"/>
    <w:sig w:usb0="E00002FF" w:usb1="4000A47B"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65B4D"/>
    <w:rsid w:val="09642CB3"/>
    <w:rsid w:val="1F765B4D"/>
    <w:rsid w:val="44542B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2022-03-23T10:22:00Z</dcterms:created>
  <dc:creator>greatwall</dc:creator>
  <cp:lastModifiedBy>Administrator</cp:lastModifiedBy>
  <dcterms:modified xsi:type="dcterms:W3CDTF">2022-05-11T00:49:05Z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C0B96F4EC4704D33ACB740215D94EBD0</vt:lpwstr>
  </property>
</Properties>
</file>