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6C9" w:rsidRDefault="000F62DD">
      <w:pPr>
        <w:pStyle w:val="a3"/>
        <w:widowControl/>
        <w:spacing w:beforeAutospacing="0" w:afterAutospacing="0" w:line="600" w:lineRule="atLeast"/>
        <w:jc w:val="center"/>
        <w:rPr>
          <w:rFonts w:ascii="黑体" w:eastAsia="黑体" w:hAnsi="宋体" w:cs="黑体"/>
          <w:sz w:val="44"/>
          <w:szCs w:val="44"/>
        </w:rPr>
      </w:pPr>
      <w:r>
        <w:rPr>
          <w:rFonts w:ascii="黑体" w:eastAsia="黑体" w:hAnsi="宋体" w:cs="黑体" w:hint="eastAsia"/>
          <w:sz w:val="44"/>
          <w:szCs w:val="44"/>
        </w:rPr>
        <w:t>黑龙江佳木斯沿江湿地省级自然保护区管理局2015年度决算公开文字说明</w:t>
      </w:r>
    </w:p>
    <w:p w:rsidR="001E36C9" w:rsidRDefault="001E36C9">
      <w:pPr>
        <w:pStyle w:val="a3"/>
        <w:widowControl/>
        <w:spacing w:beforeAutospacing="0" w:afterAutospacing="0" w:line="600" w:lineRule="atLeast"/>
        <w:rPr>
          <w:rFonts w:ascii="黑体" w:eastAsia="黑体" w:hAnsi="宋体" w:cs="黑体"/>
          <w:sz w:val="32"/>
          <w:szCs w:val="32"/>
        </w:rPr>
      </w:pP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Times New Roman" w:hAnsi="Times New Roman"/>
          <w:sz w:val="21"/>
          <w:szCs w:val="21"/>
        </w:rPr>
      </w:pPr>
      <w:r>
        <w:rPr>
          <w:rFonts w:ascii="黑体" w:eastAsia="黑体" w:hAnsi="宋体" w:cs="黑体"/>
          <w:sz w:val="32"/>
          <w:szCs w:val="32"/>
        </w:rPr>
        <w:t>一、部门职责及机构设置情况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00"/>
        <w:rPr>
          <w:rFonts w:ascii="宋体" w:eastAsia="宋体" w:hAnsi="宋体" w:cs="宋体"/>
          <w:sz w:val="30"/>
          <w:szCs w:val="30"/>
        </w:rPr>
      </w:pPr>
      <w:bookmarkStart w:id="0" w:name="_GoBack"/>
      <w:r>
        <w:rPr>
          <w:rFonts w:ascii="宋体" w:eastAsia="宋体" w:hAnsi="宋体" w:cs="宋体" w:hint="eastAsia"/>
          <w:sz w:val="30"/>
          <w:szCs w:val="30"/>
        </w:rPr>
        <w:t>我处为副处级单位。依据佳郊编[2009]11号文件精神，</w:t>
      </w:r>
      <w:bookmarkEnd w:id="0"/>
      <w:r>
        <w:rPr>
          <w:rFonts w:ascii="宋体" w:eastAsia="宋体" w:hAnsi="宋体" w:cs="宋体" w:hint="eastAsia"/>
          <w:sz w:val="30"/>
          <w:szCs w:val="30"/>
        </w:rPr>
        <w:t>黑龙江佳木斯沿江湿地省级自然保护区管理局下设6个副科级科室，另外根据工作需要，内设3个无职级办公室。现实有22人，副处级1职，正科2职，副科级6职，核定专业技术人员13人。主要职责如下：</w:t>
      </w:r>
    </w:p>
    <w:p w:rsidR="001E36C9" w:rsidRDefault="000F62DD" w:rsidP="000F62DD">
      <w:pPr>
        <w:pStyle w:val="a3"/>
        <w:widowControl/>
        <w:numPr>
          <w:ilvl w:val="0"/>
          <w:numId w:val="1"/>
        </w:numPr>
        <w:spacing w:beforeAutospacing="0" w:afterAutospacing="0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负责湿地自然保护区有关法规和管理知识的宣传教育，监督法规制度执行情况。</w:t>
      </w:r>
    </w:p>
    <w:p w:rsidR="001E36C9" w:rsidRDefault="000F62DD" w:rsidP="000F62DD">
      <w:pPr>
        <w:pStyle w:val="a3"/>
        <w:widowControl/>
        <w:numPr>
          <w:ilvl w:val="0"/>
          <w:numId w:val="1"/>
        </w:numPr>
        <w:spacing w:beforeAutospacing="0" w:afterAutospacing="0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开展环境监测和野生动植物资源调查；开展野生动物疫源疫病监测和防控工作；负责保护区有关科研项目的实施工作。</w:t>
      </w:r>
    </w:p>
    <w:p w:rsidR="001E36C9" w:rsidRDefault="000F62DD" w:rsidP="000F62DD">
      <w:pPr>
        <w:pStyle w:val="a3"/>
        <w:widowControl/>
        <w:numPr>
          <w:ilvl w:val="0"/>
          <w:numId w:val="1"/>
        </w:numPr>
        <w:spacing w:beforeAutospacing="0" w:afterAutospacing="0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打击破坏湿地、偷盗和猎捕野生动植物资源等不法行为。查破保护区内部的治安案件和一般刑事案件，协助公安机关侦破重大刑事案例。</w:t>
      </w:r>
    </w:p>
    <w:p w:rsidR="001E36C9" w:rsidRDefault="000F62DD" w:rsidP="000F62DD">
      <w:pPr>
        <w:pStyle w:val="a3"/>
        <w:widowControl/>
        <w:numPr>
          <w:ilvl w:val="0"/>
          <w:numId w:val="1"/>
        </w:numPr>
        <w:spacing w:beforeAutospacing="0" w:afterAutospacing="0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负责自然资源和自然环境的保护和管理，建立资源监测系统，健全自然资源档案，做好资源的监测工作，掌握资源变化。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00"/>
        <w:rPr>
          <w:rFonts w:ascii="Times New Roman" w:hAnsi="Times New Roman"/>
          <w:sz w:val="21"/>
          <w:szCs w:val="21"/>
        </w:rPr>
      </w:pPr>
      <w:r>
        <w:rPr>
          <w:rFonts w:ascii="宋体" w:eastAsia="宋体" w:hAnsi="宋体" w:cs="宋体" w:hint="eastAsia"/>
          <w:sz w:val="30"/>
          <w:szCs w:val="30"/>
        </w:rPr>
        <w:t>5.制定与负责本区的生态旅游和多种经营项目的经营管理。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Times New Roman" w:hAnsi="Times New Roman"/>
          <w:sz w:val="21"/>
          <w:szCs w:val="21"/>
        </w:rPr>
      </w:pPr>
      <w:r>
        <w:rPr>
          <w:rFonts w:ascii="黑体" w:eastAsia="黑体" w:hAnsi="宋体" w:cs="黑体" w:hint="eastAsia"/>
          <w:sz w:val="32"/>
          <w:szCs w:val="32"/>
        </w:rPr>
        <w:t>二、</w:t>
      </w:r>
      <w:r>
        <w:rPr>
          <w:rFonts w:ascii="Times New Roman" w:hAnsi="Times New Roman"/>
          <w:sz w:val="32"/>
          <w:szCs w:val="32"/>
        </w:rPr>
        <w:t>2015</w:t>
      </w:r>
      <w:r>
        <w:rPr>
          <w:rFonts w:ascii="黑体" w:eastAsia="黑体" w:hAnsi="宋体" w:cs="黑体" w:hint="eastAsia"/>
          <w:sz w:val="32"/>
          <w:szCs w:val="32"/>
        </w:rPr>
        <w:t>年度部门决算表</w:t>
      </w:r>
      <w:r>
        <w:rPr>
          <w:rFonts w:ascii="仿宋" w:eastAsia="仿宋" w:hAnsi="仿宋" w:cs="仿宋"/>
          <w:sz w:val="32"/>
          <w:szCs w:val="32"/>
        </w:rPr>
        <w:t>（公开表格附后）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Times New Roman" w:hAnsi="Times New Roman"/>
          <w:sz w:val="21"/>
          <w:szCs w:val="21"/>
        </w:rPr>
      </w:pPr>
      <w:r>
        <w:rPr>
          <w:rFonts w:ascii="仿宋" w:eastAsia="仿宋" w:hAnsi="仿宋" w:cs="仿宋" w:hint="eastAsia"/>
          <w:sz w:val="32"/>
          <w:szCs w:val="32"/>
        </w:rPr>
        <w:t>1、收入支出决算总表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Times New Roman" w:hAnsi="Times New Roman"/>
          <w:sz w:val="21"/>
          <w:szCs w:val="21"/>
        </w:rPr>
      </w:pPr>
      <w:r>
        <w:rPr>
          <w:rFonts w:ascii="仿宋" w:eastAsia="仿宋" w:hAnsi="仿宋" w:cs="仿宋" w:hint="eastAsia"/>
          <w:sz w:val="32"/>
          <w:szCs w:val="32"/>
        </w:rPr>
        <w:t>2、收入决算表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Times New Roman" w:hAnsi="Times New Roman"/>
          <w:sz w:val="21"/>
          <w:szCs w:val="21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3、支出决算表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Times New Roman" w:hAnsi="Times New Roman"/>
          <w:sz w:val="21"/>
          <w:szCs w:val="21"/>
        </w:rPr>
      </w:pPr>
      <w:r>
        <w:rPr>
          <w:rFonts w:ascii="仿宋" w:eastAsia="仿宋" w:hAnsi="仿宋" w:cs="仿宋" w:hint="eastAsia"/>
          <w:sz w:val="32"/>
          <w:szCs w:val="32"/>
        </w:rPr>
        <w:t>4、财政拨款收入支出决算总表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Times New Roman" w:hAnsi="Times New Roman"/>
          <w:sz w:val="21"/>
          <w:szCs w:val="21"/>
        </w:rPr>
      </w:pPr>
      <w:r>
        <w:rPr>
          <w:rFonts w:ascii="仿宋" w:eastAsia="仿宋" w:hAnsi="仿宋" w:cs="仿宋" w:hint="eastAsia"/>
          <w:sz w:val="32"/>
          <w:szCs w:val="32"/>
        </w:rPr>
        <w:t>5、一般公共预算财政拨款支出决算表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Times New Roman" w:hAnsi="Times New Roman"/>
          <w:sz w:val="21"/>
          <w:szCs w:val="21"/>
        </w:rPr>
      </w:pPr>
      <w:r>
        <w:rPr>
          <w:rFonts w:ascii="仿宋" w:eastAsia="仿宋" w:hAnsi="仿宋" w:cs="仿宋" w:hint="eastAsia"/>
          <w:sz w:val="32"/>
          <w:szCs w:val="32"/>
        </w:rPr>
        <w:t>6、一般公共预算财政拨款基本支出决算表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Times New Roman" w:hAnsi="Times New Roman"/>
          <w:sz w:val="21"/>
          <w:szCs w:val="21"/>
        </w:rPr>
      </w:pPr>
      <w:r>
        <w:rPr>
          <w:rFonts w:ascii="仿宋" w:eastAsia="仿宋" w:hAnsi="仿宋" w:cs="仿宋" w:hint="eastAsia"/>
          <w:sz w:val="32"/>
          <w:szCs w:val="32"/>
        </w:rPr>
        <w:t>7、一般公共预算财政拨款“三公”经费支出决算表</w:t>
      </w:r>
    </w:p>
    <w:p w:rsidR="009011AA" w:rsidRDefault="000F62DD" w:rsidP="009011AA">
      <w:pPr>
        <w:pStyle w:val="a3"/>
        <w:widowControl/>
        <w:spacing w:beforeAutospacing="0" w:afterAutospacing="0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8、政府性基金预算财政拨款收入支出决算表</w:t>
      </w:r>
    </w:p>
    <w:p w:rsidR="001E36C9" w:rsidRDefault="000F62DD" w:rsidP="009011AA">
      <w:pPr>
        <w:pStyle w:val="a3"/>
        <w:widowControl/>
        <w:spacing w:beforeAutospacing="0" w:afterAutospacing="0"/>
        <w:ind w:firstLineChars="200" w:firstLine="640"/>
        <w:rPr>
          <w:rFonts w:ascii="Times New Roman" w:hAnsi="Times New Roman"/>
          <w:sz w:val="21"/>
          <w:szCs w:val="21"/>
        </w:rPr>
      </w:pPr>
      <w:r>
        <w:rPr>
          <w:rFonts w:ascii="黑体" w:eastAsia="黑体" w:hAnsi="宋体" w:cs="黑体" w:hint="eastAsia"/>
          <w:sz w:val="32"/>
          <w:szCs w:val="32"/>
        </w:rPr>
        <w:t>三、预算执行情况分析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3"/>
        <w:rPr>
          <w:rFonts w:ascii="Times New Roman" w:hAnsi="Times New Roman"/>
          <w:sz w:val="21"/>
          <w:szCs w:val="21"/>
        </w:rPr>
      </w:pPr>
      <w:r>
        <w:rPr>
          <w:rFonts w:ascii="仿宋" w:eastAsia="仿宋" w:hAnsi="仿宋" w:cs="仿宋" w:hint="eastAsia"/>
          <w:b/>
          <w:sz w:val="32"/>
          <w:szCs w:val="32"/>
        </w:rPr>
        <w:t>（一）介绍部门决算的基本情况。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3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sz w:val="32"/>
          <w:szCs w:val="32"/>
        </w:rPr>
        <w:t>1</w:t>
      </w:r>
      <w:r>
        <w:rPr>
          <w:rFonts w:ascii="仿宋" w:eastAsia="仿宋" w:hAnsi="仿宋" w:cs="仿宋" w:hint="eastAsia"/>
          <w:b/>
          <w:sz w:val="32"/>
          <w:szCs w:val="32"/>
        </w:rPr>
        <w:t>、年度收支决算情况。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年度本年收入合计1,415.89万元，其中：财政拨款收入1,415.89万元；</w:t>
      </w:r>
      <w:r>
        <w:rPr>
          <w:rFonts w:ascii="Times New Roman" w:hAnsi="Times New Roman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年度支出合计1,415.89万元，其中：节能环保支出1,141.20万元，农林水支出274.69万元。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3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sz w:val="32"/>
          <w:szCs w:val="32"/>
        </w:rPr>
        <w:t>2</w:t>
      </w:r>
      <w:r>
        <w:rPr>
          <w:rFonts w:ascii="仿宋" w:eastAsia="仿宋" w:hAnsi="仿宋" w:cs="仿宋" w:hint="eastAsia"/>
          <w:b/>
          <w:sz w:val="32"/>
          <w:szCs w:val="32"/>
        </w:rPr>
        <w:t>、年度一般公共预算财政拨款支出情况。</w:t>
      </w:r>
    </w:p>
    <w:p w:rsidR="001E36C9" w:rsidRDefault="000F62DD" w:rsidP="009011AA">
      <w:pPr>
        <w:pStyle w:val="a3"/>
        <w:widowControl/>
        <w:spacing w:beforeAutospacing="0" w:afterAutospacing="0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9011AA">
        <w:rPr>
          <w:rFonts w:ascii="仿宋" w:eastAsia="仿宋" w:hAnsi="仿宋" w:cs="仿宋" w:hint="eastAsia"/>
          <w:b/>
          <w:sz w:val="32"/>
          <w:szCs w:val="32"/>
        </w:rPr>
        <w:t>基本支出：</w:t>
      </w:r>
      <w:r>
        <w:rPr>
          <w:rFonts w:ascii="仿宋" w:eastAsia="仿宋" w:hAnsi="仿宋" w:cs="仿宋" w:hint="eastAsia"/>
          <w:sz w:val="32"/>
          <w:szCs w:val="32"/>
        </w:rPr>
        <w:t>2015年度财政拨款基本支出80.23万元，项目支出1,335.65万元。</w:t>
      </w:r>
    </w:p>
    <w:p w:rsidR="001E36C9" w:rsidRDefault="000F62DD" w:rsidP="009011AA">
      <w:pPr>
        <w:pStyle w:val="a3"/>
        <w:widowControl/>
        <w:spacing w:beforeAutospacing="0" w:afterAutospacing="0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9011AA">
        <w:rPr>
          <w:rFonts w:ascii="仿宋" w:eastAsia="仿宋" w:hAnsi="仿宋" w:cs="仿宋" w:hint="eastAsia"/>
          <w:b/>
          <w:sz w:val="32"/>
          <w:szCs w:val="32"/>
        </w:rPr>
        <w:t>人员经费</w:t>
      </w:r>
      <w:r>
        <w:rPr>
          <w:rFonts w:ascii="仿宋" w:eastAsia="仿宋" w:hAnsi="仿宋" w:cs="仿宋" w:hint="eastAsia"/>
          <w:sz w:val="32"/>
          <w:szCs w:val="32"/>
        </w:rPr>
        <w:t xml:space="preserve">：工资福利支出33.22万元（基本工资12.02万元、津贴补贴17.98万元、社会保障缴费3.22万元）  </w:t>
      </w:r>
    </w:p>
    <w:p w:rsidR="001E36C9" w:rsidRDefault="000F62DD" w:rsidP="009011AA">
      <w:pPr>
        <w:pStyle w:val="a3"/>
        <w:widowControl/>
        <w:spacing w:beforeAutospacing="0" w:afterAutospacing="0"/>
        <w:ind w:firstLineChars="200" w:firstLine="643"/>
        <w:rPr>
          <w:rFonts w:ascii="Times New Roman" w:hAnsi="Times New Roman"/>
          <w:sz w:val="21"/>
          <w:szCs w:val="21"/>
        </w:rPr>
      </w:pPr>
      <w:r w:rsidRPr="009011AA">
        <w:rPr>
          <w:rFonts w:ascii="仿宋" w:eastAsia="仿宋" w:hAnsi="仿宋" w:cs="仿宋" w:hint="eastAsia"/>
          <w:b/>
          <w:sz w:val="32"/>
          <w:szCs w:val="32"/>
        </w:rPr>
        <w:t>公用经费：</w:t>
      </w:r>
      <w:r>
        <w:rPr>
          <w:rFonts w:ascii="仿宋" w:eastAsia="仿宋" w:hAnsi="仿宋" w:cs="仿宋" w:hint="eastAsia"/>
          <w:sz w:val="32"/>
          <w:szCs w:val="32"/>
        </w:rPr>
        <w:t>商品和服务支出85.42（办公费2.71万元，咨询费0.4万元，差旅费1.73万元，专用材料费77.87万元，劳务费2.33万元，公务用车运行维护费0.38万元。）</w:t>
      </w:r>
    </w:p>
    <w:p w:rsidR="001E36C9" w:rsidRDefault="000F62DD" w:rsidP="009011AA">
      <w:pPr>
        <w:pStyle w:val="a3"/>
        <w:widowControl/>
        <w:spacing w:beforeAutospacing="0" w:afterAutospacing="0"/>
        <w:ind w:firstLineChars="200" w:firstLine="643"/>
        <w:rPr>
          <w:rFonts w:ascii="Times New Roman" w:hAnsi="Times New Roman"/>
          <w:sz w:val="21"/>
          <w:szCs w:val="21"/>
        </w:rPr>
      </w:pPr>
      <w:r w:rsidRPr="009011AA">
        <w:rPr>
          <w:rFonts w:ascii="仿宋" w:eastAsia="仿宋" w:hAnsi="仿宋" w:cs="仿宋" w:hint="eastAsia"/>
          <w:b/>
          <w:sz w:val="32"/>
          <w:szCs w:val="32"/>
        </w:rPr>
        <w:lastRenderedPageBreak/>
        <w:t>项目支出：</w:t>
      </w:r>
      <w:r>
        <w:rPr>
          <w:rFonts w:ascii="仿宋" w:eastAsia="仿宋" w:hAnsi="仿宋" w:cs="仿宋" w:hint="eastAsia"/>
          <w:sz w:val="32"/>
          <w:szCs w:val="32"/>
        </w:rPr>
        <w:t>2015年共发生项目支出1，335.65万元，主要用于佳木斯沿江湿地大型灌区农田退水污染控制示范工程、2014湿地保护补助、湿地保护支出1，335.65万元。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3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sz w:val="32"/>
          <w:szCs w:val="32"/>
        </w:rPr>
        <w:t>3</w:t>
      </w:r>
      <w:r>
        <w:rPr>
          <w:rFonts w:ascii="仿宋" w:eastAsia="仿宋" w:hAnsi="仿宋" w:cs="仿宋" w:hint="eastAsia"/>
          <w:b/>
          <w:sz w:val="32"/>
          <w:szCs w:val="32"/>
        </w:rPr>
        <w:t>、年度“三公”经费决算情况。</w:t>
      </w:r>
    </w:p>
    <w:p w:rsidR="001E36C9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2015 年度“三公”经费财政拨款支出0.3805万元，其中：因公出国（境）费支出决算为0元（因公出国组团0次，因公出国0人次）；宣传车运行费支出决算为0.3805万元。</w:t>
      </w:r>
    </w:p>
    <w:p w:rsidR="000F62DD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0F62DD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0F62DD" w:rsidRDefault="000F62DD" w:rsidP="000F62DD">
      <w:pPr>
        <w:pStyle w:val="a3"/>
        <w:widowControl/>
        <w:spacing w:beforeAutospacing="0" w:afterAutospacing="0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0F62DD" w:rsidRDefault="000F62DD" w:rsidP="000F62DD">
      <w:pPr>
        <w:pStyle w:val="a3"/>
        <w:widowControl/>
        <w:spacing w:beforeAutospacing="0" w:afterAutospacing="0"/>
        <w:ind w:firstLineChars="200" w:firstLine="420"/>
        <w:rPr>
          <w:rFonts w:ascii="Times New Roman" w:hAnsi="Times New Roman"/>
          <w:sz w:val="21"/>
          <w:szCs w:val="21"/>
        </w:rPr>
      </w:pPr>
    </w:p>
    <w:p w:rsidR="001E36C9" w:rsidRDefault="001E36C9" w:rsidP="000F62DD">
      <w:pPr>
        <w:ind w:firstLineChars="200" w:firstLine="420"/>
        <w:jc w:val="left"/>
        <w:rPr>
          <w:rFonts w:hint="eastAsia"/>
        </w:rPr>
      </w:pPr>
    </w:p>
    <w:p w:rsidR="001E36C9" w:rsidRDefault="001E36C9" w:rsidP="000F62DD">
      <w:pPr>
        <w:ind w:firstLineChars="200" w:firstLine="420"/>
        <w:jc w:val="left"/>
        <w:rPr>
          <w:rFonts w:hint="eastAsia"/>
        </w:rPr>
      </w:pPr>
    </w:p>
    <w:p w:rsidR="001E36C9" w:rsidRDefault="001E36C9">
      <w:pPr>
        <w:rPr>
          <w:rFonts w:hint="eastAsia"/>
        </w:rPr>
      </w:pPr>
    </w:p>
    <w:p w:rsidR="001E36C9" w:rsidRDefault="001E36C9">
      <w:pPr>
        <w:rPr>
          <w:rFonts w:hint="eastAsia"/>
        </w:rPr>
      </w:pPr>
    </w:p>
    <w:p w:rsidR="001E36C9" w:rsidRDefault="001E36C9">
      <w:pPr>
        <w:rPr>
          <w:rFonts w:hint="eastAsia"/>
        </w:rPr>
      </w:pPr>
    </w:p>
    <w:p w:rsidR="001E36C9" w:rsidRDefault="001E36C9">
      <w:pPr>
        <w:rPr>
          <w:rFonts w:hint="eastAsia"/>
        </w:rPr>
      </w:pPr>
    </w:p>
    <w:p w:rsidR="001E36C9" w:rsidRDefault="000F62DD">
      <w:pPr>
        <w:rPr>
          <w:rFonts w:hint="eastAsia"/>
          <w:sz w:val="30"/>
          <w:szCs w:val="30"/>
        </w:rPr>
      </w:pPr>
      <w:r>
        <w:rPr>
          <w:rFonts w:hint="eastAsia"/>
        </w:rPr>
        <w:t xml:space="preserve">                  </w:t>
      </w:r>
      <w:r w:rsidR="009011AA">
        <w:rPr>
          <w:rFonts w:hint="eastAsia"/>
        </w:rPr>
        <w:t xml:space="preserve">      </w:t>
      </w:r>
      <w:r>
        <w:rPr>
          <w:rFonts w:hint="eastAsia"/>
          <w:sz w:val="30"/>
          <w:szCs w:val="30"/>
        </w:rPr>
        <w:t>黑龙江佳木斯沿江湿地省级自然保护管理局</w:t>
      </w:r>
    </w:p>
    <w:p w:rsidR="001E36C9" w:rsidRDefault="000F62D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</w:t>
      </w:r>
    </w:p>
    <w:p w:rsidR="001E36C9" w:rsidRDefault="000F62D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2016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25</w:t>
      </w:r>
      <w:r>
        <w:rPr>
          <w:rFonts w:hint="eastAsia"/>
          <w:sz w:val="30"/>
          <w:szCs w:val="30"/>
        </w:rPr>
        <w:t>日</w:t>
      </w:r>
    </w:p>
    <w:sectPr w:rsidR="001E36C9" w:rsidSect="001E3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176F4"/>
    <w:multiLevelType w:val="singleLevel"/>
    <w:tmpl w:val="582176F4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8FC5F7D"/>
    <w:rsid w:val="000F62DD"/>
    <w:rsid w:val="001D6483"/>
    <w:rsid w:val="001E36C9"/>
    <w:rsid w:val="009011AA"/>
    <w:rsid w:val="00C23B4F"/>
    <w:rsid w:val="30736624"/>
    <w:rsid w:val="3CB31773"/>
    <w:rsid w:val="48FC5F7D"/>
    <w:rsid w:val="4B410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6C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1E36C9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948</Words>
  <Characters>251</Characters>
  <Application>Microsoft Office Word</Application>
  <DocSecurity>0</DocSecurity>
  <Lines>2</Lines>
  <Paragraphs>2</Paragraphs>
  <ScaleCrop>false</ScaleCrop>
  <Company>Microsoft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cp:lastPrinted>2016-11-08T07:18:00Z</cp:lastPrinted>
  <dcterms:created xsi:type="dcterms:W3CDTF">2016-11-04T00:21:00Z</dcterms:created>
  <dcterms:modified xsi:type="dcterms:W3CDTF">2016-11-08T07:41:00Z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