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附件 2 </w:t>
      </w:r>
    </w:p>
    <w:p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val="en-US" w:eastAsia="zh-CN" w:bidi="ar"/>
        </w:rPr>
        <w:t>就业困难人员认定范围</w:t>
      </w:r>
    </w:p>
    <w:p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   一、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申请认定受理机构 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38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劳动者可向户籍地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街道（乡镇）、社区（村）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公共服务中心提出就业困难人员认定申请。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二、就业困难人员范围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1、登记失业人员中的大龄人员；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2、城镇零就业家庭失业人员；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3、残疾失业人员；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4、享受城市居民最低生活保障失业人员；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5、连续失业 1 年以上的人员（包括登记失业一年以上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高校毕业生）；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6、因失去土地等原因难以实现就业的失业人员；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7、曾荣获县以上（含县级）劳动模范的失业人员；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8、军人配偶失业人员；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9、烈属失业人员；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10、单亲家庭抚养未成年子女失业人员；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11、刑满释放后没有实现就业的“三无人员”。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4AE3671A"/>
    <w:rsid w:val="4AE3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266</Characters>
  <Lines>0</Lines>
  <Paragraphs>0</Paragraphs>
  <TotalTime>1</TotalTime>
  <ScaleCrop>false</ScaleCrop>
  <LinksUpToDate>false</LinksUpToDate>
  <CharactersWithSpaces>289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2022-07-07T07:31:00Z</dcterms:created>
  <dc:creator>Administrator</dc:creator>
  <cp:lastModifiedBy>Administrator</cp:lastModifiedBy>
  <dcterms:modified xsi:type="dcterms:W3CDTF">2022-07-07T07:35:51Z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3058FDB6150943DE9B43F4D71F62B58D</vt:lpwstr>
  </property>
</Properties>
</file>