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Style w:val="18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18"/>
          <w:rFonts w:hint="default" w:ascii="Times New Roman" w:hAnsi="Times New Roman" w:eastAsia="方正小标宋简体" w:cs="Times New Roman"/>
          <w:sz w:val="44"/>
          <w:szCs w:val="44"/>
        </w:rPr>
        <w:t>政 府 工 作 报 告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Style w:val="18"/>
          <w:rFonts w:hint="default" w:ascii="Times New Roman" w:hAnsi="Times New Roman" w:eastAsia="楷体_GB2312" w:cs="Times New Roman"/>
          <w:spacing w:val="-11"/>
          <w:kern w:val="0"/>
          <w:sz w:val="32"/>
          <w:szCs w:val="32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Style w:val="18"/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楷体_GB2312" w:cs="Times New Roman"/>
          <w:spacing w:val="-17"/>
          <w:kern w:val="0"/>
          <w:sz w:val="32"/>
          <w:szCs w:val="32"/>
        </w:rPr>
        <w:t>——2021年12月</w:t>
      </w:r>
      <w:r>
        <w:rPr>
          <w:rStyle w:val="18"/>
          <w:rFonts w:hint="eastAsia" w:ascii="Times New Roman" w:hAnsi="Times New Roman" w:eastAsia="楷体_GB2312" w:cs="Times New Roman"/>
          <w:spacing w:val="-17"/>
          <w:kern w:val="0"/>
          <w:sz w:val="32"/>
          <w:szCs w:val="32"/>
          <w:lang w:val="en-US" w:eastAsia="zh-CN"/>
        </w:rPr>
        <w:t>23</w:t>
      </w:r>
      <w:r>
        <w:rPr>
          <w:rStyle w:val="18"/>
          <w:rFonts w:hint="default" w:ascii="Times New Roman" w:hAnsi="Times New Roman" w:eastAsia="楷体_GB2312" w:cs="Times New Roman"/>
          <w:spacing w:val="-17"/>
          <w:kern w:val="0"/>
          <w:sz w:val="32"/>
          <w:szCs w:val="32"/>
        </w:rPr>
        <w:t>日在郊区第十一届人民代表大会第一次会议上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Style w:val="18"/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</w:pPr>
      <w:bookmarkStart w:id="0" w:name="_GoBack"/>
    </w:p>
    <w:bookmarkEnd w:id="0"/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Style w:val="18"/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Style w:val="18"/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代区长</w:t>
      </w:r>
      <w:r>
        <w:rPr>
          <w:rStyle w:val="18"/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Style w:val="18"/>
          <w:rFonts w:hint="default" w:ascii="Times New Roman" w:hAnsi="Times New Roman" w:eastAsia="楷体_GB2312" w:cs="Times New Roman"/>
          <w:kern w:val="0"/>
          <w:sz w:val="32"/>
          <w:szCs w:val="32"/>
        </w:rPr>
        <w:t>董秋实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各位代表：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现在，我代表区人民政府向大会报告工作，请予审议，并请各位列席的同志提出意见。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2021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年及过去五年工作回顾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2021年是中国共产党成立100周年，也是“十四五”规划开局之年。一年来，面对新冠疫情影响和经济发展压力，我们始终以习近平新时代中国特色社会主义思想为指导，坚决落实市委、市政府以及区委各项决策部署，在区人大、区政协的监督支持下，坚持稳中求进工作总基调，以推动高质量发展为主题，以深化供给侧结构性改革为主线，以改革创新为根本动力，以满足人民日益增长的美好生活需要为根本目的，扎实做好“六稳”工作，全面落实“六保”任务，加快推进现代化强区建设，巩固拓展疫情防控和经济社会发展成果，取得了比预期更好的工作成绩。预计到年末，一般公共预算收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突破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5亿元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，同比增长27.5%；规上工业增加值同比增长18%；固定资产投资完成55亿元，同比增长28%；社会消费品零售总额同比增长2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%；实际利用内资实现20亿元。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——区域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经济发展积蓄新动能。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坚持“项目为王”的理念，发动一切力量，抓住一切机会，找机遇、找商机、找项目。全年开复工重点项目100项，完成入库项目90项，预计总投资实现118亿元。推进省市“双百大项目”22项，预计完成年度投资26.6亿元，投资完成率139%，竣工投产率120%。全年新签约项目28个，签约金额117.98亿元，超额完成目标任务。推动园区提档升级，江北经济开发区完成工业总产值7.5亿元，实现税收2000万元以上。电子商务产业园荣获“国家电子商务示范基地”，预计年销售额3.2亿元，税收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突破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万元。项目建设带动了产业发展，全区新培育产值超亿元企业12户，新入规企业4家，新入限企业25家。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——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现代农业发展开创新局面。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坚持近郊农业、特色农业的发展思路，郊区地缘、产业和市场优势得到充分发挥。积极应对和有效克服疫情及极端天气影响，粮食总产量预计达到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12.24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亿斤，粮食生产实现“十八连丰”。加快水稻良种繁育示范带建设，“国家级制种大县”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项目成功落地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。投资1500万元建成以万庆稻田公园为核心的生态农业科技示范园，辐射带动北部高质高效农业示范带建设。畜牧、水产养殖业稳步发展，生猪存栏同比增长9.8%，肉牛、山绵羊、家禽存栏均实现稳定增长，渔业年产值突破1.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亿元。大力推进农业生产新模式，农业生产全程托管面积超过26万亩，稻渔综合种养面积达到1.5万亩。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——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城乡环境建设展现新面貌。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坚持城乡统筹发展，基础设施持续完善，宜居宜业品质不断提升。实施5个棚改项目、4个危楼疏散项目、1个出城口改造项目和2个市政府重点推进工程项目。完成13个老旧小区、96栋楼房，50.74万平方米面积改造工作。对179栋楼、1676户沿街商户牌匾进行集中统一改造。新建和改造公园、小游园15处。维修改造9条城市巷道、5座危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疏通淤堵桥梁35座、涵洞54道。完成51个村屯、314条道路的硬化改建，郊区在全市率先实现所有村屯道路硬化全覆盖。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加强山水林田湖草重点工程治理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完成退耕还湿100公顷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组织开展美丽宜居示范乡村创建“擂台赛”，清运农村生活垃圾5万立方米，拆除废弃、违建房屋1.2万平方米，新建围墙3.16万延长米、农民休闲广场5个，栽植绿化树木4.7万株，创建市级美丽宜居乡镇4个、村屯35个、美丽庭院350个。农村人居环境整治工作综合排名全省第九，实现了历史性突破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——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脱贫攻坚成果增添新成色。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坚持巩固拓展脱贫攻坚成果同乡村振兴有效衔接，确保困难群众长效稳定增收。全区建档立卡脱贫户和监测对象2021年人均纯收入实现增幅8.5%，高于近三年全省农村居民人均可支配收入平均增幅。建设产业扶贫项目76个，打造了达勒花海乡村旅游扶贫基地、光伏电站、大型农机扶贫专业合作社等重点产业扶贫项目，2021年实现产业扶贫收益235.2万元。开发设置72个村级公益性岗位，实现就业917人。为637名脱贫户发放小额贷款1639万元，为脱贫户、易返贫致贫户、农村失独家庭2753人缴纳商业医疗保险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——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民生福祉改善达到新水平。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坚持民生为本、民生优先，加快推进民生事业发展，全年民生支出占财政总支出达86%。持续推进畜禽粪污资源化利用整县推进项目，改造升级29个规模养殖场粪污处理设施，建成54处公益处理站。推进农村饮水安全巩固提升和维修养护工程，集中解决了49个村屯、4.2万人口水质不稳、水量不足问题。扎实推进农村生活污水治理，实施莲江口镇污水处理厂改造工程、松花江下游佳木斯饮用水水源地水质安全防护工程等项目，惠及农村1.85万户、5万余人口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新建了4个资源教室。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城镇新增就业4586人，城镇登记失业率控制在5.5％以内。全年发放城乡低保救助金7235.3万元。全面加强食品安全工作，打造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2条食品安全示范街、15家食品安全示范店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推进化解信访疑难案件120起，圆满完成重大节点期间信访维稳工作，实现了“零非访”“零登记”“两个一律”工作目标，受到全市通报表扬。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——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政府自身建设得到新提升。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坚持优化政府服务效能，以优良作风促执行、保落实。区政府党组深入开展党史学习教育，集中办理26件市、区民生实事。加强依法行政，组织开展“法治政府建设年”活动，制定出台《区政府工作规则》等10项机制制度，严格按照程序规则议事和决策，区政府常务会议会前学法11部。自觉接受各界监督，办理人大代表建议和政协委员提案56件，办结率达到100%。第一批15项“一件事”已全面进驻政务服务大厅，审批时限平均压缩到5个工作日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持续优化“清”“亲”营商环境，深入开展“走千企访万户”活动，组织联企服务专员2000余人对辖区内企业进行走访，帮助企业解决实际困难。多次组织召开工业企业家座谈会、政银企对接座谈会，帮助30家企业获得贷款7.98亿元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各位代表，2021年，面对形势多变的新冠肺炎疫情，我们始终把人民群众生命安全和身体健康放在首位，坚决压实落靠“四方责任”。先后召开区疫情防控领导小组及指挥部会议66次，研究部署疫情防控工作，安排区本级抗疫资金1600余万元。健全农村、社区疫情防控体系，落实人物环境同防，累计排查管控重点人群2.28万人，73家冷链企业、2600余家冷冻食品加工经营主体全面落实“网格化+行政执法”双重管理。加强隔离转运、核酸检测、流调溯源、物资储备能力建设，隔离场所全部达到“三区两通道”标准，实现24小时内全区全员核酸检测，持续推进疫苗适种人群应接尽接。全区医务工作者、公安干警、乡镇干部、社区工作者、志愿者以及广大干部持续奋战在防疫一线，坚持守土有责、守土负责、守土尽责，坚决打赢疫情防控人民战争、总体战、阻击战。人大代表、政协委员等社会各界爱心人士纷纷捐款捐物，凝聚了强大合力。区卫生健康局获得“黑龙江省巾帼建功先进集体”荣誉称号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thick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各位代表，2021年取得的工作成绩标志着“十四五”规划的顺利开局。回望过去的五年，是郊区经济增长最快、发展质量最高、群众得到实惠最多的五年。过去的五年里，全区上下齐心协力，稳住了发展态势，破解了多个难题，打造了很多亮点。五年来，全区公共财政预算收入累计完成18.39亿元，同比增长161.4%，年均增长12.1%；累计完成固定资产投资244.06亿元，年均增长13.6%；工业总产值累计完成22.65亿元，工业增加值年均增幅6%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五年来，我们全力抓招商建项目，经济发展后劲十足。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建设高标准农田21万亩，粮食产量累计实现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61.83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亿斤，生猪累计出栏375万头。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全区招商引资签约项目96个，实际到位资金238.88亿元，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年均增长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10%；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实际使用外资894.13万美元。新增备案外贸企业22家，全区对外贸易进出口累计完成9.66亿元。累计盘活僵尸企业12家，盘活场地15.6万平方米、厂房8.4万平方米。累计实施重点项目522项，总投资497.6亿元。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累计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向上争取资金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58.8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、债券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11.47亿元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持续推进文旅项目建设和产业融合发展，累计接待旅游人数300万人次，旅游收入实现7.87亿元。特别是充分释放电子商务产业效能，电商产业园进驻企业达到267家，累计实现交易额12.96亿元，实现税收5450余万元，带动就业6730余人，先后被评为“省级科技企业孵化器”“全国创业孵化示范基地”“国家小型微型企业创业创新示范基地”和“国家电子商务示范基地”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五年来，我们聚力抓攻坚补短板，三大战役捷报频传。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决打赢精准脱贫、污染防治、防范化解重大风险三大攻坚战。全区13个建档立卡贫困村全部完成脱贫出列，1888户2960名建档立卡贫困人口全部实现高质量脱贫。脱贫户通过产业帮扶实现户均增收2080元以上，贫困户“两不愁三保障”问题全部得到有效解决。高标准完成河湖“清四乱”和“绿卫2019”专项清理整治工作，清理整治河湖“四乱”490处，清除森林草原违法图斑81块，治理水域岸线150余公里，沿江湿地保护区退耕还湿还草700余公顷。高要求推进“大棚房”清理整治“回头看”，全区574个问题“大棚房”全部排查整改到位。多途径开发利用秸秆，秸秆还田利用率达到65%以上，综合利用率达到90%以上。全力保护提升耕地质量，测土配方施肥技术覆盖率100%，农业“三减”面积达到40万亩。37项中央、省、市环保督察反馈问题得到彻底整改，一批群众反映的环保突出问题得到有效解决。郊区获评国家级“污染源普查先进集体”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五年来，我们倾力抓统筹强基础，城乡品质提档升级。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施农村生活垃圾治理，建成并投入使用92座行政村生活垃圾分拣中心。完成124栋、64.57万平方米老旧小区改造，获评9个省级示范小区、5个市级示范小区。累计新建及维修巷道29条。承担18项建设改造项目征拆任务，完成拆迁总面积90.52万平方米。拆除违建房屋1428处，整治“十乱”问题4043个，城市管理更加规范有序。完成395户中央、省4类重点对象危房改造任务，并自筹资金616万元改造贫困群体危房240户。完成路网改造59.3公里，实施危桥改造69座，交通出行日趋便利。推进城乡美化绿化，城市绿地新增2500余平方米，绿化面积累计超过11万平方米。郊区先后获得“全省卫生先进区”“全省农村生活垃圾治理十佳县”等荣誉称号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五年来，我们竭力抓保障增福祉，幸福指数节节攀升。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累计新增城镇就业3.13万人。定期开展春秋两季村庄清洁行动，农村人居环境整治实现制度化、常态化、长效化。实施193处农村饮水工程，完成5561户农村室内厕所改造。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完成了“一站式”便民服务大厅建设，涵盖20个区直部门的政务服务事项全部实现“最多跑一次”。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成国家级足球特色学校6所，松北小学荣获黑龙江省雪地足球联赛总决赛冠军，莲江口中学足球队荣获第十七届黑龙江省全运会第四名。郊区获评全省唯一的国家级青少年校园足球特色试点县（区），以全省第三名的成绩通过全国义务教育发展基本均衡县（市、区）验收。建成3家乡镇卫生院中医馆，基层中医药服务能力覆盖率达到100%。退役军人服务覆盖全区所有乡镇、街道，红旗街道“退役军人之家”被推送全国交流经验，望江镇“红色退役军人服务站”创建成果在全省进行实践展示，郊区多次获评“省级双拥模范区”。集中力量解决群众急难愁盼问题，先后解决26个项目、1.6万余户不动产权证办理等相关历史遗留问题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五年来，我们强力抓改革转作风，发展活力持续增强。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累计为6677家市场主体落实惠企政策，协助350户企业获得贷款9.2亿元，化解各类涉企投诉案件16起，营商环境第三方评价位列各城区第一。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累计受理法律援助案件400余件，挽回经济损失2500余万元。111家改革单位全部完成农村集体产权制度改革任务，取消了村财乡管，实现财务独立核算。行政权力事项精简1029项，减少41.6%。全面开展清理合同、清收债权、化解债务和新增资源收费工作，新增资源面积13.4万亩，有效清偿政府各类债务5.5亿元。深化智慧服务管理指挥中心平台建设，全力构建“一屏知全域、一网管全局”的智慧治理新模式，七大平台板块累计录入处理数据600余万条，基本实现了社会动态全掌握、公共服务无遗漏、社会管理无缝隙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肯定成绩的同时，我们要清醒地看到，未来机遇和挑战都有新变化。新冠疫情影响深远，为经济社会发展带来不确定性。我们自身还存在短板和不足。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发展还存在短板。工业缺大少强，政策依赖性强，市场竞争力弱；农业大而不强，品牌提升、融合发展还有很大空间；服务业难以满足消费升级的需要，新模式、新业态培育不足；文化旅游产业实体项目还不够多，资源变产业任重而道远。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基础民生与群众期待还存在一定差距。城区配套设施、农村基础设施还不够完善，新型城镇化、公共服务还存在欠账，一些遗留问题尚待解决，生态环保、安全生产等领域还存在一定风险隐患。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财政收支矛盾还比较突出。财政增收空间有限，化解存量债务压力很大，化解效率有待提高。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四是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一些干部学习意识不强、专业知识不足、担当落实不够和工作本领恐慌的问题不同程度存在。面对这些问题，我们要以“功成不必在我”的境界和“建功必定有我”的担当，积极应对，认真解决。</w:t>
      </w:r>
    </w:p>
    <w:p>
      <w:pPr>
        <w:keepNext w:val="0"/>
        <w:keepLines w:val="0"/>
        <w:pageBreakBefore w:val="0"/>
        <w:numPr>
          <w:ilvl w:val="0"/>
          <w:numId w:val="1"/>
        </w:numPr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未来五年工作目标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未来五年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，是踏上实现第二个百年奋斗目标新的赶考之路的第一个五年，是推进郊区全面振兴、全方位振兴的关键五年，也是推进现代化强区建设的重要提速期。郊区必将成为佳木斯市核心区和城市新中心，准确把握郊区经济发展所面临的机遇和挑战，对于加快郊区高质量发展，奠定建成现代化强区坚实基础，具有重大意义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今后五年工作的指导思想是：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高举中国特色社会主义伟大旗帜，坚持以马克思列宁主义、毛泽东思想、邓小平理论、“三个代表”重要思想、科学发展观、习近平新时代中国特色社会主义思想为指导，全面贯彻党的十九大和十九届二中、三中、四中、五中、六中全会精神，深入贯彻习近平总书记重要讲话重要指示批示精神，统筹推进“五位一体”总体布局，协调推进“四个全面”战略布局，立足新发展阶段，完整、准确、全面贯彻新发展理念，加快构建新发展格局，持续推动工业强区、农业富区、文旅名区、智慧新区现代化强区建设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努力建设社会主义现代化佳木斯核心区，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实现更高质量发展、更深层次改革，推进治理体系和治理能力现代化，不断增强人民群众幸福感获得感安全感，加快推动郊区全面振兴全方位振兴发展。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今后五年经济社会发展的主要目标任务：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抢抓宏观形势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、城市西拓、乡村振兴、产业创新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机遇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，加快推动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现代化强区建设实现跨越发展，民生保障更强、公共服务更优、营商环境更好、靓丽郊区更美，物质文明和精神文明实现“双提升”，人民群众获得感幸福感安全感显著增强。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一是经济高质量发展取得新成效。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地区生产总值年均增长高于全市平均水平，保持快速可持续增长；财政一般公共预算收入年均增长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；全社会固定资产投资年均增长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；规模以上工业增加值年均增长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；社会消费品零售总额年均增长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力争主要经济指标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到“十四五”末翻一番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城乡居民收入稳步增长。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二是城乡融合发展实现新跨越。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城市空间布局更加优化，城市基础设施承载能力和运营效率大幅提升，城市精细化管理和智慧化服务水平不断提升。各乡镇发展动能持续增强，乡村振兴取得重要进展。继续推进“5+1+1”工程。完善畜禽粪污公益处理中心和公益处理站作用，畜禽粪污资源化综合利用率达到90%以上，规模养殖场粪污处理设施装备配套率达到100%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三是生态文明建设取得新进展。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森林绿地系统更加完善，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森林覆盖率达到19.7%，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主要河道生态功能有效恢复。继续实施“藏粮于地、藏粮于技”战略，严守耕地红线，主粮作物种植面积保持在132万亩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加大黑土地保护力度，完成高标准农田建设面积30万亩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深入推进农村乱占耕地建房专项整治行动，坚决遏制耕地“非农化”防止“非粮化”。重点实施“1369”发展战略，围绕办好2024年全省旅发大会，强力推进文化旅游与生态保护的高度融合，展示郊区美好形象。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四是重大领域改革取得新突破。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改革氛围更加浓厚，束缚振兴发展的体制机制障碍进一步破除，省市试点、“放管服”改革、城乡一体化等方面取得实质性突破。对外开放、对内合作的深度和广度进一步拓展，提高外资利用水平。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五是全区民生福祉实现新提升。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化养老服务政策体系改革，加快构建多元化养老服务体系。健全社会救助家庭入户走访跟踪制度，做好乡镇街道业务工作指导与监督，健全“救急难”主动发现和快速响应机制。继续把促进就业摆在突出位置，大力实施就业促进工程，务实创新，围绕实现更充分就业、更高质量就业目标，进一步加大完善就业创业的政策支持力度，营造更好的就业创业环境。公共服务体系更加完善，科技、教育、医疗、体育、文化等基本公共服务均等化总体实现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六是社会治理现代化迈上新台阶。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主法治更加健全，优质高效的政务环境、公平正义的法治环境、健康有序的市场环境基本确立。网格化管理持续加强，基层治理能力和现代化水平不断提升，应对突发公共事件应急能力和自然灾害防御水平明显提升，发展安全保障更加有力。</w:t>
      </w:r>
    </w:p>
    <w:p>
      <w:pPr>
        <w:keepNext w:val="0"/>
        <w:keepLines w:val="0"/>
        <w:pageBreakBefore w:val="0"/>
        <w:numPr>
          <w:ilvl w:val="0"/>
          <w:numId w:val="1"/>
        </w:numPr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开好局起好步，扎实做好2022年工作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2022年是第二个百年奋斗目标开局之年，政府工作总体思路是：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高举中国特色社会主义伟大旗帜，坚持以习近平新时代中国特色社会主义思想为指导，全面贯彻党的十九大和十九届二中、三中、四中、五中、六中全会精神，深入贯彻习近平总书记重要讲话重要指示批示精神，坚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稳字当头、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稳中求进工作总基调，统筹发展和安全，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统筹抓好疫情防控和经济社会发展各项工作，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推进治理体系和治理能力现代化，按照把郊区建设成为“工业强区、农业富区、文旅名区、智慧新区的现代化强区”的定位目标，持续推动经济社会高质量发展，以优异成绩迎接党的二十大。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综合各种因素，全区</w:t>
      </w:r>
      <w:r>
        <w:rPr>
          <w:rStyle w:val="18"/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经济社会发展主要预期目标是：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地区生产总值高于全市平均水平；一般公共财政预算收入同比增长</w:t>
      </w:r>
      <w:r>
        <w:rPr>
          <w:rStyle w:val="18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Style w:val="18"/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；全社会固定资产投资同比增长</w:t>
      </w:r>
      <w:r>
        <w:rPr>
          <w:rStyle w:val="18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Style w:val="18"/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；规上工业企业增加值同比增长</w:t>
      </w:r>
      <w:r>
        <w:rPr>
          <w:rStyle w:val="18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Style w:val="18"/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；社会消费品零售总额同比增长</w:t>
      </w:r>
      <w:r>
        <w:rPr>
          <w:rStyle w:val="18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Style w:val="18"/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；城乡常住居民人均可支配收入高于经济增长速度。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围绕上述目标，着重抓好八个方面工作。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（一）发挥区位优势，促进农业提质增效。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坚持绿色兴农、科技助农、品牌强农，加快发展高品质、高附加值的质量效益型农业，全面提高郊区农业质量效益。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稳定种植业。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加强粮食生产功能区和农产品保护区建设管护，推动高标准农田建设力度，确保耕地稳定在150万亩以上，粮食产量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稳定在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12亿斤以上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。加大制种大县项目和水稻示范带建设，农业制种面积稳定在6.3万亩。数字农业农村建设取得突破性进展，对现代农业发展形成更强有力支持。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发展养殖业。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积极发展畜牧养殖业，稳固生猪调出大县地位，生猪出栏增长8%以上，其他畜种出栏增长3-5个百分点。加快水产养殖业发展，全区养鱼水面稳定在2万亩，水产品产量、渔业产值分别增长10%。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打造特色农业。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入实施农业“效益倍增计划”，大力发展“小而精”“新优特”的质量效益型农业。继续巩固现有15个蔬菜生产小区和8个蔬菜生产基地建设，力争蔬菜生产总量突破20万吨。加强绿色食品、有机食品和地理标志农产品认证管理，促进“二品一标”创建。切实加强品牌化推广。借助各类展会，做好农产品推介服务工作，使“冬梅豆粉、睿旺杂粮、长青晓丽葡萄、岭鲜牌笨鸡蛋、巾帼红树莓、靠山牌粘豆包”等郊区特色农产品品牌走出龙江，走向全国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（二）壮大产业经济，加快重点产业集聚。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以区域经济产业化、产业经济项目化为抓手，做优做精传统产业，做大做强新兴产业，提高经济质量效益和核心竞争力。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延伸链条抓招商。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认真落实招商引资优惠政策，向资源开发和精深加工要发展，主动对接“国内500强、民营200强、行业50强”等战略投资者，锁定目标，定向招商，主攻农产品精深加工、农机装备制造、现代物流、文化旅游等产业链高端项目、上下游“补链、强链”项目，提高产品附加值，着力引进一批换代升级、循环发展和成长性好的大项目。全年至少开复工15个亿元以上项目，实际利用内资实现20亿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紧跟市场上项目。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入研究市场趋势走向，准确把握市场新需求，推动项目建设提档升级。围绕市场对原生态农产品需求旺盛的特点，抓住种植结构调整、土地流转集中、农业生产托管的有利时机，着力引进一批以生物药用火麻深加工项目为代表的绿色、有机食品原产种植和精深加工相结合的项目，壮大优质特色农产品产业集群。瞄准国内高品质畜牧市场需求和进口高端产品“替代”空间，加快新星万头羊养殖加工项目建设步伐，通过过腹增值，实现粮食、副食产品附加值双提升。针对人们对生态旅游、休闲康养等更高生活品质的追求，持续推进万通生态休闲农业产业园项目、康橙医养小镇项目建设投产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夯实基础保运行。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充分发挥产业园区在经济发展中的主力军作用，壮大产业集群，激发要素活力。完善江北经济开发区、电子商务产业园配套设施和服务功能，利用产业平台集聚作用，加快立区主导产业发展。依托生态农业科技园、现代农业产业园，积极打造集智慧农业、科普、试验、示范、休闲体验为一体的产业项目集群。加大项目全程跟踪服务力度，着力破解项目审批、土地征用、环境评价等难题，谋划推动十亿至百亿元级大型文旅商综合体项目建设。加大重点企业扶持力度，鼓励支持企业改造升级，加快转型，努力把旧的存量转化为新的增量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（三）发展文旅产业，激发经济增长活力。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加快“郊区变景区”步伐，提升全域旅游层次和档次，把旅游经济打造成为带动全区经济发展的新引擎，把旅游产业打造成郊区的重要支柱产业。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优化产业发展规划。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力发展以“周末经济”“休闲经济”“民宿经济”为核心的文化旅游产业，重点打好民俗、生态、红色、冰雪、康养五张牌，着力开发红色教育、生态休闲、度假养生、民俗体验、农业乡村、冰雪体验、赫哲风情、自驾营地、美食娱乐等多元发展的旅游业态。重点规划建设郊区旅游综合服务中心，推动各旅游景区创建研学旅行基地，开发中小学生研学旅游线路，加快推进敖其湾赫哲族旅游区基础设施升级改造项目、达勒花海景区基础设施配套升级项目、万通生态农业休闲产业园、自驾车营地等项目落地建设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深化重点线路建设。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度挖掘优质旅游资源，打造以达勒国家森林公园、猴石山城市森林公园、杜鹃山风景区为代表的自然风光游，以敖其湾赫哲族风景区为代表的民宿风情游，以东旺湿地公园为代表的生态湿地游，以四丰山风景区沿线采摘园为代表的农家乡村游，以卧佛山滑雪场、奥林射击场为代表的冰雪射击游和以达木库北满临时省委、前董家子古山寨为代表的特色文化游。全年接待游客突破110万人次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强化旅游品牌塑造。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重点塑造“农民丰收节”“赫哲冬捕节”“百合文化季”“冰雪文化季”等活动品牌，引领形成全域旅游发展格局，真正叫响“东极之郊、秀美之区”旅游品牌。促进文旅深度融合，坚持旅游主业发展战略，积极做好对外推广，努力把郊区建设成特色鲜明、产品丰富、服务优良、品牌彰显、质效并进的文旅名区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（四）加强生态保护，推动绿色持续发展。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紧盯重点领域、重点区域、关键环节，深入贯彻落实国家、省、市关于深入推进污染防治攻坚战、碳达峰和碳中和等一系列决策部署，不断提升生态环境保护工作水平。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强化绿色发展理念。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严格落实《佳木斯市郊区有关部门生态环境保护责任清单》工作要求，全面推行河湖长制、林长制，持续加强林草、河湖等资源保护，深入开展大气、水、土壤污染防治，加快推进生态环境治理体系和治理能力现代化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强化环保执法力度。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充分运用生态环境部门局队合一效能，在全面建成小康社会、全面打赢污染防治攻坚战的基础上，补齐监管短板，实行最严格的生态环境保护工作机制，以生态环境高水平保护推动经济社会高质量发展。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强化问题整改落实。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从严从细从实抓好中央、省市环保督察反馈意见问题整改汇总，举一反三，进一步巩固整改成效，推动全区生态文明建设不断提升。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强化生态防控治理。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入开展资源、生态环境全面综合整治，持续强化秸秆禁烧网格化管理作用，发挥210个哨位卡点职能，抓实抓细火源管控。加快推进清洁取暖政策落实，力争2023年前实现2.7万户农户、45个村委会办公场所、8家园区企业、35家乡镇公共机构和41家乡镇企事业单位清洁取暖设施全覆盖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（五）统筹城乡发展，打造综合治理样板。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以改善群众居住环境和生活品质为导向，加快推进城乡一体化发展。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突出精心改造。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组织实施军干所北棚户区改造项目。对10个老旧小区、63栋楼房，37.08万平方米进行整体改造，采取市场化手段引入物业服务企业，对其中60栋楼房同步提供物业管理。维修改造富强巷、福利胡同等10条巷道。以义兴老巷历史文化街区和松桦街老工业历史文化街区为代表，打造一批经典特色街区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实施精致建设。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展“四好农村路建设”，实施8.9公里道路提质改造工程，修缮改造危桥5座，实施农村公路养护工程，提高优良路率，全面提升公路通行品质。深入实施“5+3+N”园林绿化建设，同步实行“社区日常管理+园林专业养护”相结合模式，确保后期管护到位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加强精细管理。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细化市容环境“十乱”整治工作细则，优化提升整体市容市貌。推进实施城管队伍驻点乡镇办公，充实基层城市管理执法力量。进一步推动路长制和“门前三包”责任制落实精细化、标准化，形成马路市场、探头市场等长效管理机制。深入开展美丽宜居示范乡村创建，持续推进农村人居环境整治，以点带面扩线全域打造更优质的城乡人居环境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（六）坚持人民至上，满足群众美好需求。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坚持“以人民为中心”，把保障和改善民生作为重要职责使命，不遗余力地排民忧、解民难、惠民生。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切实巩固拓展脱贫成果。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推动脱贫攻坚与乡村振兴有效衔接，聚焦“农村生产发展和农村基础设施项目”两大重点，谋划一批以电子商务、农副产品深加工、乡村旅游为抓手的帮扶产业，壮大村集体经济，带动脱贫群众增产增收。深入推进落实耕地托管政策及产销对接政策，引导农村人口转行就业，增加多元化收入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切实加快推进教育现代化。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探索“互联网+教育”发展新模式，大力发展数字教育。持续深化教育“双减”政策，健全教育质量监测体系和督导机制，突出课堂在提高教育质量中的主渠道阵地作用。完善教育配套基础设施，加快推进松北高级中学实验活动用房项目建设，推动教育事业均衡发展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切实加强疫情防控和医疗卫生工作。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把疫情防控和疫苗接种工作作为常态化工作开展，完善突发疫情应急预案，持续加强流调队伍、检测能力、隔离设施建设。加快建成郊区新建中医院，推动2处中医馆建设，提升中医药服务能力。加快长发卫生院新建项目落地，加大乡村医生培训力度，构建基层医疗卫生服务网络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切实健全社会保障体系。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扎实做好创业青年技能培训、政策服务工作，鼓励创业带动就业，城镇登记失业率控制在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.5%以内。加大城乡低保、特困供养、临时救助力度，完善妇女儿童、农村留守人员、残疾人关爱服务体系，保障农民工合法权益，构建多元化、多层次养老服务模式，让弱势群众生活有质量、更幸福。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切实提升退役军人服务水平。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建立常态化联系退役军人工作机制，切实解决退役军人实际困难。力争创建省级示范型、标杆型服务站3家，并在全省推广。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切实维护社会安全稳定。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全力防控十大重点领域重大安全风险，构建“大应急、大安全、大减灾”体系。深入开展“平安郊区”建设，畅通群众诉求表达渠道，积极化解社会矛盾，全面提升人民群众的安全感。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（七）提升政务效能，营造良好营商环境。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当好服务企业和群众的“店小二”，以更高的政治站位、更务实的工作态度和更有力的工作举措，不断营造更加优质的营商环境。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打造高效政务环境。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深入推进“一网通办”，加强政务服务事项标准化建设，以“最多跑一次”为目标推进第二批20项“一件事”业务流程再造。全面推行“只进一扇门”，优化提升政务服务大厅“一站式”功能，打造高效便利的窗口服务体系，推动一批高频事项下沉至乡（镇、街道），村（社区）办理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提升政务服务标准。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持续提升网上政务服务能力，推进线上线下深度融合发展，加强一体化在线政务服务平台建设，优化平台办事流程，制定监督检查计划，推进“互联网+监管”平台数据补录工作。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加强项目服务保障。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突出全要素保障工作专班重要性，强化各部门协调配合，推进项目落地服务和各环节要素保障。全面梳理现存企业经营情况，分类施策，深化服务，为企业发展赋能。深化惠企政策落实工作，使企业充分享受政策红利，推动项目进得来、落得下、发展得好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促进市场开放有序。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持续开展“走千企访万户”活动，定期组织规上企业家座谈会、政银企对接座谈会，帮助企业解决发展难题，切实降低企业运营成本。不断改善企业融资环境，鼓励金融机构在政务服务大厅设立企业金融咨询服务窗口，提升金融服务便利性，助推企业发展壮大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（八）加强自身建设，打造人民满意政府。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巩固党史学习教育成果，加快转职能、提效能、优服务，全面提升人民群众的满意度。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做到对党忠诚。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牢固“四个意识”，坚定“四个自信”，做到“两个维护”，坚决落实中央和省、市以及区委各项决策部署，确保政府工作沿着正确方向前进。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坚持依法行政。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深入推进法治政府建设，做好“八五”普法宣传工作。严格执行“三重一大”制度。深化政务公开，主动接受监督，认真办理人大代表意见、建议和政协委员提案。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牢记为民宗旨。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坚持深入群众，问计于民、问需于民，及时解决群众合理诉求。加强“互联网+督查”、区长信箱等平台群众反映事项办理，提高群众对政府工作的满意度。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提升执行能力。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开展区政府系统作风整顿，加强执行能力建设，提高行政工作效率。坚持说实话、谋实事、出实招、求实效，勇于攻坚克难，以钉钉子精神做实做细做好各项工作。全面提升政府系统干部队伍的专业化、精细化工作水准，以专业思维、专业素养和专业方法，深入细致掌握情况、分析问题、制定方案、落实工作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保持清正廉洁。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落实全面从严治党主体责任，严格履行“一岗双责”。强化政府过“紧日子”、让群众过“好日子”的思想。加强对重大工程、重点领域、关键岗位的全过程管控监督，打造为民务实廉洁政府。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位代表，集众智才能登高望远，合群力方可聚沙成洲。让我们以习近平新时代中国特色社会主义思想为引领，在区委的坚强领导下，以敢为人先的魄力、敢于担当的勇气，锐意进取，埋头苦干，奋力开创郊区全面振兴全方位振兴新局面，为夺取新时代社会主义现代化强区建设新胜利而努力奋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!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2022年民生实事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eastAsia="zh-CN"/>
        </w:rPr>
        <w:t>谋划事项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推进城市老旧小区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改造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。改造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亚麻小区、华安小区、民政小区等10个老旧小区63栋楼房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，全面提升城市宜居水平。（牵头单位：区住房和城乡建设局）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加强弃管楼物业管理服务。采取市场化机制，为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60栋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弃管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楼引入物业管理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，让群众享受更加舒心的物业服务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（牵头单位：区住房和城乡建设局）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抓好背街巷道改造。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维修改造佳和街、佳盛街、富强巷等10条巷道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，让群众出行更加便利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（牵头单位：区住房和城乡建设局）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实施“5+3+N”园林绿化建设。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配合推进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市里规划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5个游园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重点抓好我区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规划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的荣歌公园、亚麻公园、五一公园等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3个公园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建设一批“口袋公园”“转角公园”“微地型”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，让市容环境更美、文化底蕴更足、居住条件更舒适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（牵头单位：区住房和城乡建设局）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持续推进农村生活污水治理。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实施敖其镇、沿江镇、大来镇等3个乡镇农村生活污水治理工程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，营造更加干净整洁的村容村貌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（牵头单位：区住房和城乡建设局）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加快通乡通村公路建设。对8.9公里通乡通村道路进行改造提升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，让城乡间交通更加快捷、安全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Style w:val="18"/>
          <w:rFonts w:hint="eastAsia" w:ascii="Times New Roman" w:hAnsi="Times New Roman" w:eastAsia="仿宋_GB2312"/>
          <w:sz w:val="32"/>
          <w:szCs w:val="32"/>
          <w:lang w:eastAsia="zh-CN"/>
        </w:rPr>
        <w:t>（牵头单位：区交通运输局）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修缮路边沟12公里，修建农田路80公里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改善乡村生产生活基础设施条件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。（牵头单位：区乡村振兴局）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推进农村饮水安全巩固提升工程建设。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平安乡、西格木镇、长发镇等3个乡镇，8个村屯的农村饮用水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工程进行提档升级，让农村群众喝水更加安全、放心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。（牵头单位：区水务局）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加快推进佳木斯市郊区中医院新建项目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，年内实现开工建设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Style w:val="18"/>
          <w:rFonts w:hint="eastAsia" w:ascii="Times New Roman" w:hAnsi="Times New Roman" w:eastAsia="仿宋_GB2312"/>
          <w:sz w:val="32"/>
          <w:szCs w:val="32"/>
          <w:lang w:eastAsia="zh-CN"/>
        </w:rPr>
        <w:t>（牵头单位：区卫生健康局）</w:t>
      </w:r>
    </w:p>
    <w:p>
      <w:pPr>
        <w:keepNext w:val="0"/>
        <w:keepLines w:val="0"/>
        <w:pageBreakBefore w:val="0"/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推进“一件事”改革向基层延伸，打通群众办事最后一公里。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（牵头单位：区营商环境建设监督局）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</w:pPr>
      <w:r>
        <w:rPr>
          <w:rStyle w:val="18"/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  <w:t>名 词 解 释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textAlignment w:val="baseline"/>
        <w:rPr>
          <w:rStyle w:val="18"/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﹝1﹞“六稳”：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稳就业、稳金融、稳外贸、稳外资、稳投资、稳预期。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﹝2﹞“六保”：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保居民就业、保基本民生、保市场主体、保粮食能源安全、保产业链供应链稳定、保基层运转。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baseline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﹝3﹞“两个一律”：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一律不得在重点地区、敏感部位拦截守候信访人员；一律到上访人员分流中心劝返接回上访人员。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baseline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﹝4﹞“四方责任”：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属地责任、部门监管责任、单位主体责任、个人自我管理责任。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baseline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﹝5﹞河湖“清四乱”：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清理河湖乱占、乱采、乱堆、乱建。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﹝6﹞农业“三减”：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减少化肥、化学农药、化学除草剂的施用量。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﹝7﹞“十乱”问题：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乱搭乱建、乱摆乱占、乱扔乱倒、乱贴乱挂、乱停乱放等十类城市乱象。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﹝8﹞“5+1+1”工程：”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垃圾革命”“污水革命”“厕所革命”“能源革命”“菜园革命”五项革命；“龙江民居”；村庄清洁行动。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﹝9﹞“1369”发展战略：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一体化布局：高端化“建点”、精品化“连线”，实现一体化“布局”；三大旅游板块：北部湿地和观江游、南部休闲采摘和古迹名胜游、西部特色民俗和生态体验游；六大精品旅游线路：库区风光游、湿地生态游、赫哲民俗游、赏花休闲游、乡村采摘游、名胜古迹游；九大旅游景点：东旺湿地公园、黑龙江达勒国家森林公园、敖其湾赫哲族旅游区、卧佛山滑雪场、奥林射击场、东北抗日联军战绩纪念塔、猴石山风景区、杜鹃山风景区、前董家子汉魏古山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﹝10﹞</w:t>
      </w:r>
      <w:r>
        <w:rPr>
          <w:rStyle w:val="18"/>
          <w:rFonts w:hint="default" w:ascii="Times New Roman" w:hAnsi="Times New Roman" w:eastAsia="黑体" w:cs="Times New Roman"/>
          <w:kern w:val="0"/>
          <w:sz w:val="32"/>
          <w:szCs w:val="32"/>
        </w:rPr>
        <w:t>“5+3+N”园林绿化建设：</w:t>
      </w:r>
      <w:r>
        <w:rPr>
          <w:rStyle w:val="18"/>
          <w:rFonts w:hint="default" w:ascii="Times New Roman" w:hAnsi="Times New Roman" w:eastAsia="仿宋_GB2312" w:cs="Times New Roman"/>
          <w:kern w:val="0"/>
          <w:sz w:val="32"/>
          <w:szCs w:val="32"/>
        </w:rPr>
        <w:t>市里规划建设5个游园，我区规划建设3个公园，同时利用巷道改造、街区路口、城市建设等空闲出的场地，建设一批“口袋公园”“转角公园”“微地型”。</w:t>
      </w: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667B6"/>
    <w:multiLevelType w:val="singleLevel"/>
    <w:tmpl w:val="9FA667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1E"/>
    <w:rsid w:val="005B6223"/>
    <w:rsid w:val="00AC6733"/>
    <w:rsid w:val="00B32B1E"/>
    <w:rsid w:val="00E63D3C"/>
    <w:rsid w:val="0110040B"/>
    <w:rsid w:val="0124386C"/>
    <w:rsid w:val="04045FD1"/>
    <w:rsid w:val="04A1774C"/>
    <w:rsid w:val="04E83FEC"/>
    <w:rsid w:val="050F6733"/>
    <w:rsid w:val="0527672D"/>
    <w:rsid w:val="05DF0649"/>
    <w:rsid w:val="0699032C"/>
    <w:rsid w:val="06C90660"/>
    <w:rsid w:val="072E61D2"/>
    <w:rsid w:val="07BC3E23"/>
    <w:rsid w:val="07D511C0"/>
    <w:rsid w:val="07F918DB"/>
    <w:rsid w:val="087467B7"/>
    <w:rsid w:val="0ACF296D"/>
    <w:rsid w:val="0B773113"/>
    <w:rsid w:val="0B864792"/>
    <w:rsid w:val="0BD55E68"/>
    <w:rsid w:val="0CE51A60"/>
    <w:rsid w:val="0D291AB7"/>
    <w:rsid w:val="0D335777"/>
    <w:rsid w:val="0EC6298B"/>
    <w:rsid w:val="0EDA0273"/>
    <w:rsid w:val="0F5F5C2E"/>
    <w:rsid w:val="0FFD7605"/>
    <w:rsid w:val="10947BD0"/>
    <w:rsid w:val="10AA383D"/>
    <w:rsid w:val="10BD5B03"/>
    <w:rsid w:val="10C84177"/>
    <w:rsid w:val="1106483F"/>
    <w:rsid w:val="123C2C14"/>
    <w:rsid w:val="12EB4591"/>
    <w:rsid w:val="133D52CC"/>
    <w:rsid w:val="138E1CA3"/>
    <w:rsid w:val="13D0319A"/>
    <w:rsid w:val="140A3080"/>
    <w:rsid w:val="142F21CA"/>
    <w:rsid w:val="1533035A"/>
    <w:rsid w:val="1616124E"/>
    <w:rsid w:val="16487A84"/>
    <w:rsid w:val="1733368B"/>
    <w:rsid w:val="17E551B2"/>
    <w:rsid w:val="189576B1"/>
    <w:rsid w:val="19395BB7"/>
    <w:rsid w:val="198D5E65"/>
    <w:rsid w:val="1A116F90"/>
    <w:rsid w:val="1AF701BB"/>
    <w:rsid w:val="1B590615"/>
    <w:rsid w:val="1B777D43"/>
    <w:rsid w:val="1BEF15C6"/>
    <w:rsid w:val="1BFA2EB5"/>
    <w:rsid w:val="1C815591"/>
    <w:rsid w:val="1CBFC111"/>
    <w:rsid w:val="1D6E39C2"/>
    <w:rsid w:val="1DBD5D79"/>
    <w:rsid w:val="1E167994"/>
    <w:rsid w:val="1F7EB9F2"/>
    <w:rsid w:val="1FD54447"/>
    <w:rsid w:val="1FFB2B8B"/>
    <w:rsid w:val="1FFF5633"/>
    <w:rsid w:val="200E3578"/>
    <w:rsid w:val="204E4C10"/>
    <w:rsid w:val="209C05BD"/>
    <w:rsid w:val="211A15E3"/>
    <w:rsid w:val="226D592E"/>
    <w:rsid w:val="23767CAB"/>
    <w:rsid w:val="23A43D7A"/>
    <w:rsid w:val="245F3F81"/>
    <w:rsid w:val="247F733F"/>
    <w:rsid w:val="248273AA"/>
    <w:rsid w:val="24E5470D"/>
    <w:rsid w:val="25523B28"/>
    <w:rsid w:val="25847987"/>
    <w:rsid w:val="265F9F30"/>
    <w:rsid w:val="26A10909"/>
    <w:rsid w:val="26A757A4"/>
    <w:rsid w:val="278C4D47"/>
    <w:rsid w:val="27C71746"/>
    <w:rsid w:val="27CD02C3"/>
    <w:rsid w:val="27EE717C"/>
    <w:rsid w:val="281F501E"/>
    <w:rsid w:val="28A466A3"/>
    <w:rsid w:val="29983B0D"/>
    <w:rsid w:val="29EB1C47"/>
    <w:rsid w:val="2A321DA0"/>
    <w:rsid w:val="2A4B08C1"/>
    <w:rsid w:val="2AA80F16"/>
    <w:rsid w:val="2ABA4457"/>
    <w:rsid w:val="2B285415"/>
    <w:rsid w:val="2B3B3A3C"/>
    <w:rsid w:val="2B4925F0"/>
    <w:rsid w:val="2BD31A71"/>
    <w:rsid w:val="2BFFA919"/>
    <w:rsid w:val="2C9A3885"/>
    <w:rsid w:val="2D295F9D"/>
    <w:rsid w:val="2D2FBCAB"/>
    <w:rsid w:val="2D5C3192"/>
    <w:rsid w:val="2DB534E6"/>
    <w:rsid w:val="2E330849"/>
    <w:rsid w:val="2E7D582B"/>
    <w:rsid w:val="2E862048"/>
    <w:rsid w:val="2E8F43E7"/>
    <w:rsid w:val="2EF62248"/>
    <w:rsid w:val="2F3D3040"/>
    <w:rsid w:val="2FA7E69C"/>
    <w:rsid w:val="2FA98C93"/>
    <w:rsid w:val="2FBFA22B"/>
    <w:rsid w:val="2FFDD9BE"/>
    <w:rsid w:val="30340DFF"/>
    <w:rsid w:val="30875B9B"/>
    <w:rsid w:val="30A654DB"/>
    <w:rsid w:val="31345646"/>
    <w:rsid w:val="31BF7EFA"/>
    <w:rsid w:val="331F0762"/>
    <w:rsid w:val="33305ED6"/>
    <w:rsid w:val="334F229F"/>
    <w:rsid w:val="337D02C7"/>
    <w:rsid w:val="33E718F5"/>
    <w:rsid w:val="34442D1B"/>
    <w:rsid w:val="349E3BAD"/>
    <w:rsid w:val="35731E98"/>
    <w:rsid w:val="35CD396B"/>
    <w:rsid w:val="35DC6E6C"/>
    <w:rsid w:val="35E474E9"/>
    <w:rsid w:val="371A0F18"/>
    <w:rsid w:val="377437A3"/>
    <w:rsid w:val="37AF4824"/>
    <w:rsid w:val="37B476C1"/>
    <w:rsid w:val="37FFF753"/>
    <w:rsid w:val="383E734F"/>
    <w:rsid w:val="3866580A"/>
    <w:rsid w:val="3883345B"/>
    <w:rsid w:val="38DB2E8C"/>
    <w:rsid w:val="39BF75AE"/>
    <w:rsid w:val="39C81076"/>
    <w:rsid w:val="3A930B95"/>
    <w:rsid w:val="3AF715AD"/>
    <w:rsid w:val="3B25029A"/>
    <w:rsid w:val="3BDAC63F"/>
    <w:rsid w:val="3C5B4E03"/>
    <w:rsid w:val="3C874FA6"/>
    <w:rsid w:val="3CDB5EA1"/>
    <w:rsid w:val="3D55DC52"/>
    <w:rsid w:val="3E67060D"/>
    <w:rsid w:val="3E6B764D"/>
    <w:rsid w:val="3EAE74C0"/>
    <w:rsid w:val="3EFB66A8"/>
    <w:rsid w:val="3EFD32E4"/>
    <w:rsid w:val="3F2DB5FE"/>
    <w:rsid w:val="3F67E890"/>
    <w:rsid w:val="3FDE1D5E"/>
    <w:rsid w:val="3FF72C9F"/>
    <w:rsid w:val="3FFD5057"/>
    <w:rsid w:val="40513279"/>
    <w:rsid w:val="40D066A9"/>
    <w:rsid w:val="414B6B79"/>
    <w:rsid w:val="416F05A6"/>
    <w:rsid w:val="42371114"/>
    <w:rsid w:val="4273333B"/>
    <w:rsid w:val="42E630B2"/>
    <w:rsid w:val="43AF6EFD"/>
    <w:rsid w:val="440A6C9E"/>
    <w:rsid w:val="44415A04"/>
    <w:rsid w:val="44DD13BA"/>
    <w:rsid w:val="452D1612"/>
    <w:rsid w:val="453839C5"/>
    <w:rsid w:val="4559756F"/>
    <w:rsid w:val="45A81E81"/>
    <w:rsid w:val="479E7FF0"/>
    <w:rsid w:val="48641BA5"/>
    <w:rsid w:val="488938DE"/>
    <w:rsid w:val="49BF52DA"/>
    <w:rsid w:val="4BC36B25"/>
    <w:rsid w:val="4BCE13DB"/>
    <w:rsid w:val="4BFF4210"/>
    <w:rsid w:val="4C6463E3"/>
    <w:rsid w:val="4C739BAF"/>
    <w:rsid w:val="4D218BBE"/>
    <w:rsid w:val="4DAE3966"/>
    <w:rsid w:val="4DF9DDEF"/>
    <w:rsid w:val="4E0BA64A"/>
    <w:rsid w:val="4E187EBC"/>
    <w:rsid w:val="4EEF35BD"/>
    <w:rsid w:val="4F0C4E4D"/>
    <w:rsid w:val="4F7FF0C7"/>
    <w:rsid w:val="4FBE10A7"/>
    <w:rsid w:val="4FE516A1"/>
    <w:rsid w:val="5056708E"/>
    <w:rsid w:val="50A938FB"/>
    <w:rsid w:val="50D826B8"/>
    <w:rsid w:val="525E74DF"/>
    <w:rsid w:val="530638E3"/>
    <w:rsid w:val="5307221F"/>
    <w:rsid w:val="53BF5C56"/>
    <w:rsid w:val="544828A6"/>
    <w:rsid w:val="5496174C"/>
    <w:rsid w:val="54DC7AEA"/>
    <w:rsid w:val="54F6C4F8"/>
    <w:rsid w:val="55304210"/>
    <w:rsid w:val="55610E03"/>
    <w:rsid w:val="55CF54B3"/>
    <w:rsid w:val="56090D62"/>
    <w:rsid w:val="5643376D"/>
    <w:rsid w:val="56BFCF2C"/>
    <w:rsid w:val="578824E5"/>
    <w:rsid w:val="57AFA041"/>
    <w:rsid w:val="583E4D5D"/>
    <w:rsid w:val="58722BBB"/>
    <w:rsid w:val="5922523F"/>
    <w:rsid w:val="59BD6250"/>
    <w:rsid w:val="5A6B6FB6"/>
    <w:rsid w:val="5A7F149B"/>
    <w:rsid w:val="5AFFF1E7"/>
    <w:rsid w:val="5B194D65"/>
    <w:rsid w:val="5B7FF062"/>
    <w:rsid w:val="5B8F4192"/>
    <w:rsid w:val="5BB67C51"/>
    <w:rsid w:val="5C016844"/>
    <w:rsid w:val="5C63380F"/>
    <w:rsid w:val="5C7D02F7"/>
    <w:rsid w:val="5CF51070"/>
    <w:rsid w:val="5D340D87"/>
    <w:rsid w:val="5D6C6CF9"/>
    <w:rsid w:val="5D9E852F"/>
    <w:rsid w:val="5DA78ED4"/>
    <w:rsid w:val="5DFF3EA2"/>
    <w:rsid w:val="5DFFD61F"/>
    <w:rsid w:val="5E3FE904"/>
    <w:rsid w:val="5F55B6AE"/>
    <w:rsid w:val="5F7FC7ED"/>
    <w:rsid w:val="5FC7E2C4"/>
    <w:rsid w:val="5FCDA1BD"/>
    <w:rsid w:val="5FD24434"/>
    <w:rsid w:val="5FDEDE6E"/>
    <w:rsid w:val="5FF679FE"/>
    <w:rsid w:val="5FFF5125"/>
    <w:rsid w:val="62B80522"/>
    <w:rsid w:val="63E4346F"/>
    <w:rsid w:val="63E74608"/>
    <w:rsid w:val="64966735"/>
    <w:rsid w:val="65CA6DD1"/>
    <w:rsid w:val="65DB348F"/>
    <w:rsid w:val="663B393B"/>
    <w:rsid w:val="669E6573"/>
    <w:rsid w:val="66F74EB2"/>
    <w:rsid w:val="670E0C2C"/>
    <w:rsid w:val="670F05F9"/>
    <w:rsid w:val="68421B18"/>
    <w:rsid w:val="6844395A"/>
    <w:rsid w:val="685A1281"/>
    <w:rsid w:val="6A0E2C43"/>
    <w:rsid w:val="6A452C4F"/>
    <w:rsid w:val="6A7F0588"/>
    <w:rsid w:val="6B263AF6"/>
    <w:rsid w:val="6B4F42DA"/>
    <w:rsid w:val="6B67139D"/>
    <w:rsid w:val="6BC49FFB"/>
    <w:rsid w:val="6BDC9979"/>
    <w:rsid w:val="6D0E7617"/>
    <w:rsid w:val="6E222AE3"/>
    <w:rsid w:val="6E40608C"/>
    <w:rsid w:val="6E4A0B8A"/>
    <w:rsid w:val="6E6E54A1"/>
    <w:rsid w:val="6E753C11"/>
    <w:rsid w:val="6E832943"/>
    <w:rsid w:val="6E97463D"/>
    <w:rsid w:val="6EEB5871"/>
    <w:rsid w:val="6FAB0FAC"/>
    <w:rsid w:val="6FBBF290"/>
    <w:rsid w:val="6FBD7286"/>
    <w:rsid w:val="6FDEA529"/>
    <w:rsid w:val="6FEE3F04"/>
    <w:rsid w:val="6FEF3B7D"/>
    <w:rsid w:val="6FF75132"/>
    <w:rsid w:val="6FFBEC4E"/>
    <w:rsid w:val="70A7442D"/>
    <w:rsid w:val="71F07EC6"/>
    <w:rsid w:val="72816B93"/>
    <w:rsid w:val="72D74ECE"/>
    <w:rsid w:val="73662122"/>
    <w:rsid w:val="736E2E55"/>
    <w:rsid w:val="74672339"/>
    <w:rsid w:val="74FF5F2A"/>
    <w:rsid w:val="758C2236"/>
    <w:rsid w:val="75970BAC"/>
    <w:rsid w:val="75B90937"/>
    <w:rsid w:val="75DF46B4"/>
    <w:rsid w:val="76CFE4E4"/>
    <w:rsid w:val="776D9591"/>
    <w:rsid w:val="778BA910"/>
    <w:rsid w:val="77B60288"/>
    <w:rsid w:val="77B71A90"/>
    <w:rsid w:val="77F47BB2"/>
    <w:rsid w:val="77F60321"/>
    <w:rsid w:val="77FE659F"/>
    <w:rsid w:val="78266208"/>
    <w:rsid w:val="793DB3C7"/>
    <w:rsid w:val="7AA45EA8"/>
    <w:rsid w:val="7AC64B3B"/>
    <w:rsid w:val="7AFED330"/>
    <w:rsid w:val="7B2C4EB1"/>
    <w:rsid w:val="7B4231CA"/>
    <w:rsid w:val="7B6A1D1D"/>
    <w:rsid w:val="7B9AC6A6"/>
    <w:rsid w:val="7BDB34C0"/>
    <w:rsid w:val="7BEFE53C"/>
    <w:rsid w:val="7BFD0113"/>
    <w:rsid w:val="7C2F3298"/>
    <w:rsid w:val="7C5E406C"/>
    <w:rsid w:val="7C99532F"/>
    <w:rsid w:val="7CB852C6"/>
    <w:rsid w:val="7CCCE965"/>
    <w:rsid w:val="7CF03F38"/>
    <w:rsid w:val="7D57F706"/>
    <w:rsid w:val="7D9F3FFC"/>
    <w:rsid w:val="7DACCEB0"/>
    <w:rsid w:val="7DB82781"/>
    <w:rsid w:val="7DCCC645"/>
    <w:rsid w:val="7DDF00AB"/>
    <w:rsid w:val="7DF3BD69"/>
    <w:rsid w:val="7DFB8F58"/>
    <w:rsid w:val="7E130E4E"/>
    <w:rsid w:val="7E997EA4"/>
    <w:rsid w:val="7ECE68CA"/>
    <w:rsid w:val="7ED47475"/>
    <w:rsid w:val="7EDAC904"/>
    <w:rsid w:val="7EE7EF11"/>
    <w:rsid w:val="7EEB56DA"/>
    <w:rsid w:val="7EEF7222"/>
    <w:rsid w:val="7F3DE26D"/>
    <w:rsid w:val="7F3E09DD"/>
    <w:rsid w:val="7F7F0BB3"/>
    <w:rsid w:val="7F9A4567"/>
    <w:rsid w:val="7FAD038D"/>
    <w:rsid w:val="7FAF3D71"/>
    <w:rsid w:val="7FAFF1C5"/>
    <w:rsid w:val="7FB7F6D1"/>
    <w:rsid w:val="7FBA1F6F"/>
    <w:rsid w:val="7FBAA1A7"/>
    <w:rsid w:val="7FCA61A0"/>
    <w:rsid w:val="7FD95D3B"/>
    <w:rsid w:val="7FDCB0B6"/>
    <w:rsid w:val="7FE7CEB9"/>
    <w:rsid w:val="7FE9922C"/>
    <w:rsid w:val="7FEE104A"/>
    <w:rsid w:val="7FEF6FFA"/>
    <w:rsid w:val="7FEFEEF8"/>
    <w:rsid w:val="7FF31DEA"/>
    <w:rsid w:val="7FF66B76"/>
    <w:rsid w:val="7FF70C6E"/>
    <w:rsid w:val="7FFAA51C"/>
    <w:rsid w:val="7FFF29CF"/>
    <w:rsid w:val="7FFF701B"/>
    <w:rsid w:val="7FFF8B8C"/>
    <w:rsid w:val="7FFF93F5"/>
    <w:rsid w:val="8AF5414C"/>
    <w:rsid w:val="8DD7AEAF"/>
    <w:rsid w:val="92E862E8"/>
    <w:rsid w:val="97FE3CCC"/>
    <w:rsid w:val="9EAF127A"/>
    <w:rsid w:val="9FEB9AF6"/>
    <w:rsid w:val="9FF7255F"/>
    <w:rsid w:val="A37FC480"/>
    <w:rsid w:val="A589CA0D"/>
    <w:rsid w:val="A6FF67FC"/>
    <w:rsid w:val="AB7FF854"/>
    <w:rsid w:val="ADB2671D"/>
    <w:rsid w:val="AEEB3F8B"/>
    <w:rsid w:val="AFB53D62"/>
    <w:rsid w:val="AFF84DA6"/>
    <w:rsid w:val="B1CE85A6"/>
    <w:rsid w:val="B2A98420"/>
    <w:rsid w:val="B3E7A5F7"/>
    <w:rsid w:val="B5F76A44"/>
    <w:rsid w:val="B694BB3E"/>
    <w:rsid w:val="B6EB7A29"/>
    <w:rsid w:val="B75BA4DE"/>
    <w:rsid w:val="B7FE715F"/>
    <w:rsid w:val="B7FFE383"/>
    <w:rsid w:val="B93E7AC9"/>
    <w:rsid w:val="BBD3E019"/>
    <w:rsid w:val="BBE34C4D"/>
    <w:rsid w:val="BBF504EA"/>
    <w:rsid w:val="BBFB5EAA"/>
    <w:rsid w:val="BD5F2D89"/>
    <w:rsid w:val="BD77A888"/>
    <w:rsid w:val="BDFF414C"/>
    <w:rsid w:val="BE3FE0BC"/>
    <w:rsid w:val="BE5FED26"/>
    <w:rsid w:val="BEB744E4"/>
    <w:rsid w:val="BEDF477D"/>
    <w:rsid w:val="BEFFC48A"/>
    <w:rsid w:val="BFB800D6"/>
    <w:rsid w:val="BFEF3138"/>
    <w:rsid w:val="BFF76C96"/>
    <w:rsid w:val="BFFCC295"/>
    <w:rsid w:val="BFFE2A16"/>
    <w:rsid w:val="C5E5D1A1"/>
    <w:rsid w:val="C5EFB0EB"/>
    <w:rsid w:val="CA659F80"/>
    <w:rsid w:val="CDE7F085"/>
    <w:rsid w:val="CE636D87"/>
    <w:rsid w:val="CF1F6B37"/>
    <w:rsid w:val="CFFF7967"/>
    <w:rsid w:val="D35E46FA"/>
    <w:rsid w:val="D57FFD63"/>
    <w:rsid w:val="D5F7E736"/>
    <w:rsid w:val="D6ABE267"/>
    <w:rsid w:val="D73D0EB8"/>
    <w:rsid w:val="D73D552C"/>
    <w:rsid w:val="D7EB821E"/>
    <w:rsid w:val="D8CBD3ED"/>
    <w:rsid w:val="D8FFE902"/>
    <w:rsid w:val="D9DF7E5B"/>
    <w:rsid w:val="DBFF8252"/>
    <w:rsid w:val="DC271721"/>
    <w:rsid w:val="DC928C08"/>
    <w:rsid w:val="DDBFB25D"/>
    <w:rsid w:val="DDF36F8B"/>
    <w:rsid w:val="DDF969CF"/>
    <w:rsid w:val="DE8F3482"/>
    <w:rsid w:val="DF7FBAAA"/>
    <w:rsid w:val="DFBEB566"/>
    <w:rsid w:val="DFBFF5A4"/>
    <w:rsid w:val="DFFB9873"/>
    <w:rsid w:val="DFFE1534"/>
    <w:rsid w:val="E4FE59BC"/>
    <w:rsid w:val="E63F54E8"/>
    <w:rsid w:val="E7FF4AB3"/>
    <w:rsid w:val="EB0D26D4"/>
    <w:rsid w:val="EBDF9A70"/>
    <w:rsid w:val="EBEB3980"/>
    <w:rsid w:val="EBF754C0"/>
    <w:rsid w:val="EBF7F35F"/>
    <w:rsid w:val="ECFD0F25"/>
    <w:rsid w:val="EDDBBD55"/>
    <w:rsid w:val="EDFB2CBE"/>
    <w:rsid w:val="EDFB3E20"/>
    <w:rsid w:val="EDFD2221"/>
    <w:rsid w:val="EE73DACB"/>
    <w:rsid w:val="EEEF1FFD"/>
    <w:rsid w:val="EF3AB2D4"/>
    <w:rsid w:val="EF7540A8"/>
    <w:rsid w:val="EFFEBBC0"/>
    <w:rsid w:val="EFFF4586"/>
    <w:rsid w:val="F2DF6C89"/>
    <w:rsid w:val="F3AEB61F"/>
    <w:rsid w:val="F44C7B4A"/>
    <w:rsid w:val="F5189F98"/>
    <w:rsid w:val="F5FCAC71"/>
    <w:rsid w:val="F6FF4C39"/>
    <w:rsid w:val="F7761E25"/>
    <w:rsid w:val="F7933D76"/>
    <w:rsid w:val="F7BEF6C4"/>
    <w:rsid w:val="F7DF267A"/>
    <w:rsid w:val="F7EEDEA0"/>
    <w:rsid w:val="F7FF05B3"/>
    <w:rsid w:val="F88B299F"/>
    <w:rsid w:val="F97D8AF6"/>
    <w:rsid w:val="FB1BA391"/>
    <w:rsid w:val="FB6F74B9"/>
    <w:rsid w:val="FB7FA0FF"/>
    <w:rsid w:val="FBEF8815"/>
    <w:rsid w:val="FBFB276A"/>
    <w:rsid w:val="FBFE71E5"/>
    <w:rsid w:val="FBFFDF86"/>
    <w:rsid w:val="FC7A0848"/>
    <w:rsid w:val="FD2BF844"/>
    <w:rsid w:val="FD4B1751"/>
    <w:rsid w:val="FD75595F"/>
    <w:rsid w:val="FD77F7D9"/>
    <w:rsid w:val="FDA7E772"/>
    <w:rsid w:val="FDCF2DBC"/>
    <w:rsid w:val="FDD52BFC"/>
    <w:rsid w:val="FDDE6F13"/>
    <w:rsid w:val="FDE7FCF0"/>
    <w:rsid w:val="FDFDC58C"/>
    <w:rsid w:val="FDFF205F"/>
    <w:rsid w:val="FE15FC1A"/>
    <w:rsid w:val="FE3B1E91"/>
    <w:rsid w:val="FE57756B"/>
    <w:rsid w:val="FEF53D1B"/>
    <w:rsid w:val="FEF73C19"/>
    <w:rsid w:val="FF2B6F13"/>
    <w:rsid w:val="FF3EFCDB"/>
    <w:rsid w:val="FF3F0719"/>
    <w:rsid w:val="FF5C84B1"/>
    <w:rsid w:val="FF7C4791"/>
    <w:rsid w:val="FF7EBAF1"/>
    <w:rsid w:val="FFBB5CB9"/>
    <w:rsid w:val="FFBEF37C"/>
    <w:rsid w:val="FFCF14C9"/>
    <w:rsid w:val="FFD34DE1"/>
    <w:rsid w:val="FFDFFFC3"/>
    <w:rsid w:val="FFE5CD05"/>
    <w:rsid w:val="FFE7DB4A"/>
    <w:rsid w:val="FFEFD57E"/>
    <w:rsid w:val="FFF3B3D0"/>
    <w:rsid w:val="FFF72AEC"/>
    <w:rsid w:val="FFF79D66"/>
    <w:rsid w:val="FFFBC576"/>
    <w:rsid w:val="FFFD636F"/>
    <w:rsid w:val="FFFE87F8"/>
    <w:rsid w:val="FFFF1897"/>
    <w:rsid w:val="FFFF7DEC"/>
    <w:rsid w:val="FFFFD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48"/>
      <w:szCs w:val="4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rPr>
      <w:rFonts w:ascii="Calibri" w:hAnsi="Calibri" w:eastAsia="宋体" w:cs="Times New Roman"/>
    </w:rPr>
  </w:style>
  <w:style w:type="paragraph" w:styleId="4">
    <w:name w:val="table of authorities"/>
    <w:basedOn w:val="1"/>
    <w:next w:val="1"/>
    <w:unhideWhenUsed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600"/>
    </w:pPr>
    <w:rPr>
      <w:rFonts w:ascii="仿宋_GB2312" w:hAnsi="Times New Roman" w:eastAsia="仿宋_GB2312"/>
      <w:sz w:val="32"/>
    </w:rPr>
  </w:style>
  <w:style w:type="paragraph" w:styleId="6">
    <w:name w:val="toc 3"/>
    <w:basedOn w:val="1"/>
    <w:next w:val="1"/>
    <w:qFormat/>
    <w:uiPriority w:val="39"/>
    <w:pPr>
      <w:ind w:left="400"/>
    </w:pPr>
    <w:rPr>
      <w:rFonts w:ascii="Times New Roman" w:hAnsi="Times New Roman"/>
      <w:i/>
      <w:iCs/>
    </w:rPr>
  </w:style>
  <w:style w:type="paragraph" w:styleId="7">
    <w:name w:val="Body Text Indent 2"/>
    <w:basedOn w:val="1"/>
    <w:unhideWhenUsed/>
    <w:qFormat/>
    <w:uiPriority w:val="0"/>
    <w:pPr>
      <w:spacing w:line="480" w:lineRule="auto"/>
      <w:ind w:left="420" w:leftChars="200"/>
    </w:pPr>
  </w:style>
  <w:style w:type="paragraph" w:styleId="8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Normal (Web)"/>
    <w:basedOn w:val="1"/>
    <w:qFormat/>
    <w:uiPriority w:val="0"/>
    <w:pPr>
      <w:spacing w:beforeAutospacing="1" w:after="100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宋体" w:cs="Times New Roman"/>
      <w:b/>
      <w:bCs/>
    </w:rPr>
  </w:style>
  <w:style w:type="paragraph" w:styleId="14">
    <w:name w:val="Body Text First Indent 2"/>
    <w:basedOn w:val="5"/>
    <w:unhideWhenUsed/>
    <w:qFormat/>
    <w:uiPriority w:val="99"/>
    <w:pPr>
      <w:tabs>
        <w:tab w:val="left" w:pos="900"/>
      </w:tabs>
      <w:ind w:firstLine="420" w:firstLineChars="200"/>
    </w:pPr>
    <w:rPr>
      <w:rFonts w:ascii="宋体" w:hAnsi="宋体"/>
      <w:sz w:val="30"/>
      <w:szCs w:val="30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NormalCharacter"/>
    <w:link w:val="19"/>
    <w:qFormat/>
    <w:uiPriority w:val="0"/>
    <w:rPr>
      <w:rFonts w:ascii="Calibri" w:hAnsi="Calibri"/>
    </w:rPr>
  </w:style>
  <w:style w:type="paragraph" w:customStyle="1" w:styleId="19">
    <w:name w:val="UserStyle_2"/>
    <w:basedOn w:val="1"/>
    <w:link w:val="18"/>
    <w:qFormat/>
    <w:uiPriority w:val="0"/>
    <w:pPr>
      <w:widowControl/>
      <w:spacing w:after="160" w:line="240" w:lineRule="exact"/>
      <w:jc w:val="left"/>
      <w:textAlignment w:val="baseline"/>
    </w:pPr>
    <w:rPr>
      <w:rFonts w:ascii="Calibri" w:hAnsi="Calibri"/>
    </w:rPr>
  </w:style>
  <w:style w:type="paragraph" w:customStyle="1" w:styleId="20">
    <w:name w:val="BodyText"/>
    <w:basedOn w:val="1"/>
    <w:qFormat/>
    <w:uiPriority w:val="0"/>
    <w:rPr>
      <w:rFonts w:ascii="Calibri" w:hAnsi="Calibri"/>
    </w:rPr>
  </w:style>
  <w:style w:type="paragraph" w:customStyle="1" w:styleId="21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1968</Words>
  <Characters>11220</Characters>
  <Lines>93</Lines>
  <Paragraphs>26</Paragraphs>
  <TotalTime>52</TotalTime>
  <ScaleCrop>false</ScaleCrop>
  <LinksUpToDate>false</LinksUpToDate>
  <CharactersWithSpaces>13162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2021-11-21T16:47:00Z</dcterms:created>
  <dc:creator>Administrator</dc:creator>
  <cp:lastModifiedBy> 琳</cp:lastModifiedBy>
  <cp:lastPrinted>2021-12-16T11:32:00Z</cp:lastPrinted>
  <dcterms:modified xsi:type="dcterms:W3CDTF">2022-01-14T02:51:06Z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4DF618D99EBA46C992699264F7A6ED58</vt:lpwstr>
  </property>
</Properties>
</file>